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FB0" w:rsidRDefault="00751FB0" w:rsidP="00751FB0">
      <w:pPr>
        <w:rPr>
          <w:rFonts w:ascii="Arial" w:hAnsi="Arial" w:cs="Arial"/>
          <w:b/>
          <w:noProof w:val="0"/>
        </w:rPr>
      </w:pPr>
      <w:bookmarkStart w:id="0" w:name="_GoBack"/>
      <w:bookmarkEnd w:id="0"/>
    </w:p>
    <w:p w:rsidR="00CB646E" w:rsidRPr="00927E2D" w:rsidRDefault="003868E9" w:rsidP="003B33DE">
      <w:pPr>
        <w:jc w:val="right"/>
        <w:rPr>
          <w:rFonts w:ascii="Arial" w:hAnsi="Arial" w:cs="Arial"/>
          <w:b/>
          <w:noProof w:val="0"/>
        </w:rPr>
      </w:pPr>
      <w:r>
        <w:rPr>
          <w:rFonts w:ascii="Arial" w:hAnsi="Arial" w:cs="Arial"/>
          <w:b/>
          <w:noProof w:val="0"/>
        </w:rPr>
        <w:t>A/A DIRECCIÓN XERAL DE FUNCIÓN PÚBLICA</w:t>
      </w:r>
      <w:r w:rsidR="00CB646E" w:rsidRPr="00927E2D">
        <w:rPr>
          <w:rFonts w:ascii="Arial" w:hAnsi="Arial" w:cs="Arial"/>
          <w:b/>
          <w:noProof w:val="0"/>
        </w:rPr>
        <w:t xml:space="preserve"> </w:t>
      </w:r>
    </w:p>
    <w:p w:rsidR="00CB646E" w:rsidRPr="00612E84" w:rsidRDefault="00751FB0" w:rsidP="003B33DE">
      <w:pPr>
        <w:jc w:val="right"/>
        <w:rPr>
          <w:rFonts w:ascii="Arial" w:hAnsi="Arial" w:cs="Arial"/>
          <w:b/>
          <w:i/>
          <w:noProof w:val="0"/>
        </w:rPr>
      </w:pPr>
      <w:r w:rsidRPr="00612E84">
        <w:rPr>
          <w:rFonts w:ascii="Arial" w:hAnsi="Arial" w:cs="Arial"/>
          <w:b/>
          <w:i/>
          <w:noProof w:val="0"/>
        </w:rPr>
        <w:t>CONSELLERÍA D</w:t>
      </w:r>
      <w:r w:rsidR="003868E9">
        <w:rPr>
          <w:rFonts w:ascii="Arial" w:hAnsi="Arial" w:cs="Arial"/>
          <w:b/>
          <w:i/>
          <w:noProof w:val="0"/>
        </w:rPr>
        <w:t>E FACENDA</w:t>
      </w:r>
    </w:p>
    <w:p w:rsidR="00CB646E" w:rsidRPr="00612E84" w:rsidRDefault="00CB646E" w:rsidP="003B33DE">
      <w:pPr>
        <w:jc w:val="right"/>
        <w:rPr>
          <w:rFonts w:ascii="Arial" w:hAnsi="Arial" w:cs="Arial"/>
          <w:noProof w:val="0"/>
        </w:rPr>
      </w:pPr>
      <w:r w:rsidRPr="00612E84">
        <w:rPr>
          <w:rFonts w:ascii="Arial" w:hAnsi="Arial" w:cs="Arial"/>
          <w:noProof w:val="0"/>
        </w:rPr>
        <w:t>EDIFICIO ADMINISTRATIVO DE SAN C</w:t>
      </w:r>
      <w:r w:rsidR="003B33DE" w:rsidRPr="00612E84">
        <w:rPr>
          <w:rFonts w:ascii="Arial" w:hAnsi="Arial" w:cs="Arial"/>
          <w:noProof w:val="0"/>
        </w:rPr>
        <w:t>A</w:t>
      </w:r>
      <w:r w:rsidRPr="00612E84">
        <w:rPr>
          <w:rFonts w:ascii="Arial" w:hAnsi="Arial" w:cs="Arial"/>
          <w:noProof w:val="0"/>
        </w:rPr>
        <w:t>ETANO</w:t>
      </w:r>
    </w:p>
    <w:p w:rsidR="00CB646E" w:rsidRPr="00927E2D" w:rsidRDefault="00CB646E" w:rsidP="003B33DE">
      <w:pPr>
        <w:jc w:val="right"/>
        <w:rPr>
          <w:rFonts w:ascii="Arial" w:hAnsi="Arial" w:cs="Arial"/>
          <w:b/>
          <w:noProof w:val="0"/>
        </w:rPr>
      </w:pPr>
      <w:r w:rsidRPr="00612E84">
        <w:rPr>
          <w:rFonts w:ascii="Arial" w:hAnsi="Arial" w:cs="Arial"/>
          <w:noProof w:val="0"/>
        </w:rPr>
        <w:t>15781-SANTIAGO DE COMPOSTELA</w:t>
      </w:r>
    </w:p>
    <w:p w:rsidR="005C10C9" w:rsidRPr="005C10C9" w:rsidRDefault="005C10C9" w:rsidP="00CB646E">
      <w:pPr>
        <w:jc w:val="both"/>
        <w:rPr>
          <w:rFonts w:ascii="Arial" w:hAnsi="Arial" w:cs="Arial"/>
          <w:noProof w:val="0"/>
        </w:rPr>
      </w:pPr>
    </w:p>
    <w:p w:rsidR="003868E9" w:rsidRDefault="003868E9" w:rsidP="003868E9">
      <w:pPr>
        <w:spacing w:after="240" w:line="360" w:lineRule="auto"/>
        <w:ind w:left="-284"/>
        <w:jc w:val="both"/>
        <w:rPr>
          <w:b/>
        </w:rPr>
      </w:pPr>
    </w:p>
    <w:p w:rsidR="003868E9" w:rsidRPr="005D4C82" w:rsidRDefault="003868E9" w:rsidP="003868E9">
      <w:pPr>
        <w:spacing w:after="240" w:line="360" w:lineRule="auto"/>
        <w:ind w:left="-284"/>
        <w:jc w:val="both"/>
        <w:rPr>
          <w:rFonts w:ascii="Arial" w:eastAsia="Arial" w:hAnsi="Arial" w:cs="Arial"/>
          <w:lang w:val="es-ES"/>
        </w:rPr>
      </w:pPr>
      <w:r w:rsidRPr="005D4C82">
        <w:rPr>
          <w:rFonts w:ascii="Arial" w:eastAsia="Arial" w:hAnsi="Arial" w:cs="Arial"/>
          <w:lang w:val="es-ES"/>
        </w:rPr>
        <w:t>Vista la Oferta de Empleo Pública para el año 2018 remitida por la Dirección Xeral de Función Pública, desde la Central Sindical Independiente y de Funcionarios (</w:t>
      </w:r>
      <w:r w:rsidRPr="005D4C82">
        <w:rPr>
          <w:rFonts w:ascii="Arial" w:eastAsia="Arial" w:hAnsi="Arial" w:cs="Arial"/>
          <w:b/>
          <w:lang w:val="es-ES"/>
        </w:rPr>
        <w:t>CSIF</w:t>
      </w:r>
      <w:r w:rsidRPr="005D4C82">
        <w:rPr>
          <w:rFonts w:ascii="Arial" w:eastAsia="Arial" w:hAnsi="Arial" w:cs="Arial"/>
          <w:lang w:val="es-ES"/>
        </w:rPr>
        <w:t xml:space="preserve">) </w:t>
      </w:r>
      <w:r w:rsidRPr="003868E9">
        <w:rPr>
          <w:rFonts w:ascii="Arial" w:eastAsia="Arial" w:hAnsi="Arial" w:cs="Arial"/>
          <w:b/>
          <w:u w:val="single"/>
          <w:lang w:val="es-ES"/>
        </w:rPr>
        <w:t>exigimos su retirada del orden del día de la Mesa Xeral de Negociación</w:t>
      </w:r>
      <w:r>
        <w:rPr>
          <w:rFonts w:ascii="Arial" w:eastAsia="Arial" w:hAnsi="Arial" w:cs="Arial"/>
          <w:lang w:val="es-ES"/>
        </w:rPr>
        <w:t xml:space="preserve"> del próximo lunes, 3 de diciembre, en base a las siguientes consideraciones:</w:t>
      </w:r>
    </w:p>
    <w:p w:rsidR="003868E9" w:rsidRPr="005D4C82" w:rsidRDefault="003868E9" w:rsidP="003868E9">
      <w:pPr>
        <w:spacing w:after="240" w:line="360" w:lineRule="auto"/>
        <w:jc w:val="both"/>
        <w:rPr>
          <w:rFonts w:ascii="Arial" w:eastAsia="Arial" w:hAnsi="Arial" w:cs="Arial"/>
          <w:lang w:val="es-ES"/>
        </w:rPr>
      </w:pPr>
      <w:r>
        <w:rPr>
          <w:rFonts w:ascii="Arial" w:eastAsia="Arial" w:hAnsi="Arial" w:cs="Arial"/>
          <w:lang w:val="es-ES"/>
        </w:rPr>
        <w:t xml:space="preserve">Debemos </w:t>
      </w:r>
      <w:r w:rsidRPr="005D4C82">
        <w:rPr>
          <w:rFonts w:ascii="Arial" w:eastAsia="Arial" w:hAnsi="Arial" w:cs="Arial"/>
          <w:lang w:val="es-ES"/>
        </w:rPr>
        <w:t xml:space="preserve">efectuar un </w:t>
      </w:r>
      <w:r w:rsidRPr="003868E9">
        <w:rPr>
          <w:rFonts w:ascii="Arial" w:eastAsia="Arial" w:hAnsi="Arial" w:cs="Arial"/>
          <w:b/>
          <w:lang w:val="es-ES"/>
        </w:rPr>
        <w:t>reproche frontal</w:t>
      </w:r>
      <w:r w:rsidRPr="005D4C82">
        <w:rPr>
          <w:rFonts w:ascii="Arial" w:eastAsia="Arial" w:hAnsi="Arial" w:cs="Arial"/>
          <w:lang w:val="es-ES"/>
        </w:rPr>
        <w:t xml:space="preserve"> y rotundo a las formas en</w:t>
      </w:r>
      <w:r>
        <w:rPr>
          <w:rFonts w:ascii="Arial" w:eastAsia="Arial" w:hAnsi="Arial" w:cs="Arial"/>
          <w:lang w:val="es-ES"/>
        </w:rPr>
        <w:t xml:space="preserve"> cuanto a </w:t>
      </w:r>
      <w:r w:rsidRPr="005D4C82">
        <w:rPr>
          <w:rFonts w:ascii="Arial" w:eastAsia="Arial" w:hAnsi="Arial" w:cs="Arial"/>
          <w:lang w:val="es-ES"/>
        </w:rPr>
        <w:t xml:space="preserve">plazos y envío (o mejor decir ausencia de envío) de la documentación necesaria para poder efectuar </w:t>
      </w:r>
      <w:r>
        <w:rPr>
          <w:rFonts w:ascii="Arial" w:eastAsia="Arial" w:hAnsi="Arial" w:cs="Arial"/>
          <w:lang w:val="es-ES"/>
        </w:rPr>
        <w:t>un estudio correcto del proyecto de OPE, lo que</w:t>
      </w:r>
      <w:r w:rsidRPr="005D4C82">
        <w:rPr>
          <w:rFonts w:ascii="Arial" w:eastAsia="Arial" w:hAnsi="Arial" w:cs="Arial"/>
          <w:lang w:val="es-ES"/>
        </w:rPr>
        <w:t xml:space="preserve"> infiere una </w:t>
      </w:r>
      <w:r w:rsidRPr="004E3DF2">
        <w:rPr>
          <w:rFonts w:ascii="Arial" w:eastAsia="Arial" w:hAnsi="Arial" w:cs="Arial"/>
          <w:b/>
          <w:lang w:val="es-ES"/>
        </w:rPr>
        <w:t>absoluta falta de buena fe negocial</w:t>
      </w:r>
      <w:r w:rsidRPr="005D4C82">
        <w:rPr>
          <w:rFonts w:ascii="Arial" w:eastAsia="Arial" w:hAnsi="Arial" w:cs="Arial"/>
          <w:lang w:val="es-ES"/>
        </w:rPr>
        <w:t xml:space="preserve"> y</w:t>
      </w:r>
      <w:r>
        <w:rPr>
          <w:rFonts w:ascii="Arial" w:eastAsia="Arial" w:hAnsi="Arial" w:cs="Arial"/>
          <w:lang w:val="es-ES"/>
        </w:rPr>
        <w:t>,</w:t>
      </w:r>
      <w:r w:rsidRPr="005D4C82">
        <w:rPr>
          <w:rFonts w:ascii="Arial" w:eastAsia="Arial" w:hAnsi="Arial" w:cs="Arial"/>
          <w:lang w:val="es-ES"/>
        </w:rPr>
        <w:t xml:space="preserve"> lo que es más grave, que la Administración Autonómica no respeta los Pactos y Acuerdos firmados</w:t>
      </w:r>
      <w:r>
        <w:rPr>
          <w:rFonts w:ascii="Arial" w:eastAsia="Arial" w:hAnsi="Arial" w:cs="Arial"/>
          <w:lang w:val="es-ES"/>
        </w:rPr>
        <w:t>, ni a nivel Nacional, ni los</w:t>
      </w:r>
      <w:r w:rsidRPr="005D4C82">
        <w:rPr>
          <w:rFonts w:ascii="Arial" w:eastAsia="Arial" w:hAnsi="Arial" w:cs="Arial"/>
          <w:lang w:val="es-ES"/>
        </w:rPr>
        <w:t xml:space="preserve"> firmados </w:t>
      </w:r>
      <w:r>
        <w:rPr>
          <w:rFonts w:ascii="Arial" w:eastAsia="Arial" w:hAnsi="Arial" w:cs="Arial"/>
          <w:lang w:val="es-ES"/>
        </w:rPr>
        <w:t>por la propia Xunta en Galicia con esta central sindical.</w:t>
      </w:r>
    </w:p>
    <w:p w:rsidR="003868E9" w:rsidRPr="005D4C82" w:rsidRDefault="003868E9" w:rsidP="003868E9">
      <w:pPr>
        <w:spacing w:after="240" w:line="360" w:lineRule="auto"/>
        <w:jc w:val="both"/>
        <w:rPr>
          <w:rFonts w:ascii="Arial" w:eastAsia="Arial" w:hAnsi="Arial" w:cs="Arial"/>
          <w:lang w:val="es-ES"/>
        </w:rPr>
      </w:pPr>
      <w:r w:rsidRPr="005D4C82">
        <w:rPr>
          <w:rFonts w:ascii="Arial" w:eastAsia="Arial" w:hAnsi="Arial" w:cs="Arial"/>
          <w:lang w:val="es-ES"/>
        </w:rPr>
        <w:t>Ello se evidencia en el hecho que habiéndose pactado y firmado el 13.10.17</w:t>
      </w:r>
      <w:r>
        <w:rPr>
          <w:rFonts w:ascii="Arial" w:eastAsia="Arial" w:hAnsi="Arial" w:cs="Arial"/>
          <w:lang w:val="es-ES"/>
        </w:rPr>
        <w:t>,</w:t>
      </w:r>
      <w:r w:rsidRPr="005D4C82">
        <w:rPr>
          <w:rFonts w:ascii="Arial" w:eastAsia="Arial" w:hAnsi="Arial" w:cs="Arial"/>
          <w:lang w:val="es-ES"/>
        </w:rPr>
        <w:t xml:space="preserve"> y publicado en el DOG con fecha 7 de febrero de 2018</w:t>
      </w:r>
      <w:r>
        <w:rPr>
          <w:rFonts w:ascii="Arial" w:eastAsia="Arial" w:hAnsi="Arial" w:cs="Arial"/>
          <w:lang w:val="es-ES"/>
        </w:rPr>
        <w:t>,</w:t>
      </w:r>
      <w:r w:rsidRPr="005D4C82">
        <w:rPr>
          <w:rFonts w:ascii="Arial" w:eastAsia="Arial" w:hAnsi="Arial" w:cs="Arial"/>
          <w:lang w:val="es-ES"/>
        </w:rPr>
        <w:t xml:space="preserve"> un acuerdo para desarrollar un plan de estabilidad en el empleo de los servicios públicos</w:t>
      </w:r>
      <w:r>
        <w:rPr>
          <w:rFonts w:ascii="Arial" w:eastAsia="Arial" w:hAnsi="Arial" w:cs="Arial"/>
          <w:lang w:val="es-ES"/>
        </w:rPr>
        <w:t>,</w:t>
      </w:r>
      <w:r w:rsidRPr="005D4C82">
        <w:rPr>
          <w:rFonts w:ascii="Arial" w:eastAsia="Arial" w:hAnsi="Arial" w:cs="Arial"/>
          <w:lang w:val="es-ES"/>
        </w:rPr>
        <w:t xml:space="preserve"> y conteniendo dicho acuerdo cláusulas que establecen una </w:t>
      </w:r>
      <w:r w:rsidRPr="004E3DF2">
        <w:rPr>
          <w:rFonts w:ascii="Arial" w:eastAsia="Arial" w:hAnsi="Arial" w:cs="Arial"/>
          <w:b/>
          <w:lang w:val="es-ES"/>
        </w:rPr>
        <w:t>comisión de seguimiento</w:t>
      </w:r>
      <w:r w:rsidRPr="005D4C82">
        <w:rPr>
          <w:rFonts w:ascii="Arial" w:eastAsia="Arial" w:hAnsi="Arial" w:cs="Arial"/>
          <w:lang w:val="es-ES"/>
        </w:rPr>
        <w:t xml:space="preserve"> para la interpretación y control de dicho acuerdo con el fin de</w:t>
      </w:r>
      <w:r>
        <w:rPr>
          <w:rFonts w:ascii="Arial" w:eastAsia="Arial" w:hAnsi="Arial" w:cs="Arial"/>
          <w:lang w:val="es-ES"/>
        </w:rPr>
        <w:t xml:space="preserve"> reducir las tasas de temporalidad por debajo del 7 por ciento</w:t>
      </w:r>
      <w:r w:rsidRPr="005D4C82">
        <w:rPr>
          <w:rFonts w:ascii="Arial" w:eastAsia="Arial" w:hAnsi="Arial" w:cs="Arial"/>
          <w:lang w:val="es-ES"/>
        </w:rPr>
        <w:t>, se remita ahora un borrador de Oferta sin que, como se explicará a lo largo de estas alegaciones, se reúnan dichas comisiones de Seguimiento</w:t>
      </w:r>
      <w:r w:rsidR="00B36809">
        <w:rPr>
          <w:rFonts w:ascii="Arial" w:eastAsia="Arial" w:hAnsi="Arial" w:cs="Arial"/>
          <w:lang w:val="es-ES"/>
        </w:rPr>
        <w:t>.</w:t>
      </w:r>
    </w:p>
    <w:p w:rsidR="003868E9" w:rsidRPr="005D4C82" w:rsidRDefault="003868E9" w:rsidP="003868E9">
      <w:pPr>
        <w:spacing w:after="240" w:line="360" w:lineRule="auto"/>
        <w:jc w:val="both"/>
        <w:rPr>
          <w:rFonts w:ascii="Arial" w:eastAsia="Arial" w:hAnsi="Arial" w:cs="Arial"/>
          <w:lang w:val="es-ES"/>
        </w:rPr>
      </w:pPr>
      <w:r>
        <w:rPr>
          <w:rFonts w:ascii="Arial" w:eastAsia="Arial" w:hAnsi="Arial" w:cs="Arial"/>
          <w:lang w:val="es-ES"/>
        </w:rPr>
        <w:t>Se viola igualmente su</w:t>
      </w:r>
      <w:r w:rsidRPr="005D4C82">
        <w:rPr>
          <w:rFonts w:ascii="Arial" w:eastAsia="Arial" w:hAnsi="Arial" w:cs="Arial"/>
          <w:lang w:val="es-ES"/>
        </w:rPr>
        <w:t xml:space="preserve"> Cláusu</w:t>
      </w:r>
      <w:r>
        <w:rPr>
          <w:rFonts w:ascii="Arial" w:eastAsia="Arial" w:hAnsi="Arial" w:cs="Arial"/>
          <w:lang w:val="es-ES"/>
        </w:rPr>
        <w:t>la Octava</w:t>
      </w:r>
      <w:r w:rsidRPr="005D4C82">
        <w:rPr>
          <w:rFonts w:ascii="Arial" w:eastAsia="Arial" w:hAnsi="Arial" w:cs="Arial"/>
          <w:lang w:val="es-ES"/>
        </w:rPr>
        <w:t>, que marcaba la necesi</w:t>
      </w:r>
      <w:r>
        <w:rPr>
          <w:rFonts w:ascii="Arial" w:eastAsia="Arial" w:hAnsi="Arial" w:cs="Arial"/>
          <w:lang w:val="es-ES"/>
        </w:rPr>
        <w:t>dad de ampliar dicho acuerdo</w:t>
      </w:r>
      <w:r w:rsidRPr="005D4C82">
        <w:rPr>
          <w:rFonts w:ascii="Arial" w:eastAsia="Arial" w:hAnsi="Arial" w:cs="Arial"/>
          <w:lang w:val="es-ES"/>
        </w:rPr>
        <w:t xml:space="preserve"> en el caso de que el</w:t>
      </w:r>
      <w:r>
        <w:rPr>
          <w:rFonts w:ascii="Arial" w:eastAsia="Arial" w:hAnsi="Arial" w:cs="Arial"/>
          <w:lang w:val="es-ES"/>
        </w:rPr>
        <w:t xml:space="preserve"> marco normativo lo permitiese, tal y como ha sucedido con el segundo acuerdo de Madrid.</w:t>
      </w:r>
    </w:p>
    <w:p w:rsidR="003868E9" w:rsidRPr="005D4C82" w:rsidRDefault="003868E9" w:rsidP="003868E9">
      <w:pPr>
        <w:spacing w:after="240" w:line="360" w:lineRule="auto"/>
        <w:jc w:val="both"/>
        <w:rPr>
          <w:rFonts w:ascii="Arial" w:eastAsia="Arial" w:hAnsi="Arial" w:cs="Arial"/>
          <w:lang w:val="es-ES"/>
        </w:rPr>
      </w:pPr>
      <w:r w:rsidRPr="005D4C82">
        <w:rPr>
          <w:rFonts w:ascii="Arial" w:eastAsia="Arial" w:hAnsi="Arial" w:cs="Arial"/>
          <w:lang w:val="es-ES"/>
        </w:rPr>
        <w:lastRenderedPageBreak/>
        <w:t xml:space="preserve">Todo ello implica el </w:t>
      </w:r>
      <w:r w:rsidRPr="00B36809">
        <w:rPr>
          <w:rFonts w:ascii="Arial" w:eastAsia="Arial" w:hAnsi="Arial" w:cs="Arial"/>
          <w:b/>
          <w:lang w:val="es-ES"/>
        </w:rPr>
        <w:t>vaciamiento de contenido</w:t>
      </w:r>
      <w:r w:rsidRPr="005D4C82">
        <w:rPr>
          <w:rFonts w:ascii="Arial" w:eastAsia="Arial" w:hAnsi="Arial" w:cs="Arial"/>
          <w:lang w:val="es-ES"/>
        </w:rPr>
        <w:t xml:space="preserve"> de los Acuerdos</w:t>
      </w:r>
      <w:r w:rsidR="00B36809">
        <w:rPr>
          <w:rFonts w:ascii="Arial" w:eastAsia="Arial" w:hAnsi="Arial" w:cs="Arial"/>
          <w:lang w:val="es-ES"/>
        </w:rPr>
        <w:t xml:space="preserve"> firmandos en Galicia y en Madrid</w:t>
      </w:r>
      <w:r w:rsidRPr="005D4C82">
        <w:rPr>
          <w:rFonts w:ascii="Arial" w:eastAsia="Arial" w:hAnsi="Arial" w:cs="Arial"/>
          <w:lang w:val="es-ES"/>
        </w:rPr>
        <w:t xml:space="preserve"> y que </w:t>
      </w:r>
      <w:r w:rsidR="00B36809">
        <w:rPr>
          <w:rFonts w:ascii="Arial" w:eastAsia="Arial" w:hAnsi="Arial" w:cs="Arial"/>
          <w:lang w:val="es-ES"/>
        </w:rPr>
        <w:t>el desarrollo</w:t>
      </w:r>
      <w:r w:rsidRPr="005D4C82">
        <w:rPr>
          <w:rFonts w:ascii="Arial" w:eastAsia="Arial" w:hAnsi="Arial" w:cs="Arial"/>
          <w:lang w:val="es-ES"/>
        </w:rPr>
        <w:t xml:space="preserve"> de los Planes de Estabilización y Consolidación se ejecuten exclusivamente conforme a las directrices e interpretaciones que</w:t>
      </w:r>
      <w:r>
        <w:rPr>
          <w:rFonts w:ascii="Arial" w:eastAsia="Arial" w:hAnsi="Arial" w:cs="Arial"/>
          <w:lang w:val="es-ES"/>
        </w:rPr>
        <w:t>,</w:t>
      </w:r>
      <w:r w:rsidRPr="005D4C82">
        <w:rPr>
          <w:rFonts w:ascii="Arial" w:eastAsia="Arial" w:hAnsi="Arial" w:cs="Arial"/>
          <w:lang w:val="es-ES"/>
        </w:rPr>
        <w:t xml:space="preserve"> de modo unilateral</w:t>
      </w:r>
      <w:r>
        <w:rPr>
          <w:rFonts w:ascii="Arial" w:eastAsia="Arial" w:hAnsi="Arial" w:cs="Arial"/>
          <w:lang w:val="es-ES"/>
        </w:rPr>
        <w:t xml:space="preserve"> y torticero, ejerce la administración gallega, </w:t>
      </w:r>
      <w:r w:rsidRPr="005D4C82">
        <w:rPr>
          <w:rFonts w:ascii="Arial" w:eastAsia="Arial" w:hAnsi="Arial" w:cs="Arial"/>
          <w:lang w:val="es-ES"/>
        </w:rPr>
        <w:t>impidiendo que las Organizaciones Sindicales podamos efectuar medidas de control y seguimiento tal y como estaba previsto en los Acuerdos</w:t>
      </w:r>
      <w:r>
        <w:rPr>
          <w:rFonts w:ascii="Arial" w:eastAsia="Arial" w:hAnsi="Arial" w:cs="Arial"/>
          <w:lang w:val="es-ES"/>
        </w:rPr>
        <w:t xml:space="preserve"> y alejando el cumplimiento del objetivo de reducir la temporalidad por debajo del 7 por ciento.</w:t>
      </w:r>
    </w:p>
    <w:p w:rsidR="003868E9" w:rsidRPr="005D4C82" w:rsidRDefault="003868E9" w:rsidP="003868E9">
      <w:pPr>
        <w:spacing w:after="240" w:line="360" w:lineRule="auto"/>
        <w:jc w:val="both"/>
        <w:rPr>
          <w:rFonts w:ascii="Arial" w:eastAsia="Arial" w:hAnsi="Arial" w:cs="Arial"/>
          <w:lang w:val="es-ES"/>
        </w:rPr>
      </w:pPr>
      <w:r>
        <w:rPr>
          <w:rFonts w:ascii="Arial" w:eastAsia="Arial" w:hAnsi="Arial" w:cs="Arial"/>
          <w:lang w:val="es-ES"/>
        </w:rPr>
        <w:t>Por todo ello</w:t>
      </w:r>
      <w:r w:rsidRPr="005D4C82">
        <w:rPr>
          <w:rFonts w:ascii="Arial" w:eastAsia="Arial" w:hAnsi="Arial" w:cs="Arial"/>
          <w:lang w:val="es-ES"/>
        </w:rPr>
        <w:t xml:space="preserve"> exigimos que</w:t>
      </w:r>
      <w:r>
        <w:rPr>
          <w:rFonts w:ascii="Arial" w:eastAsia="Arial" w:hAnsi="Arial" w:cs="Arial"/>
          <w:lang w:val="es-ES"/>
        </w:rPr>
        <w:t>,</w:t>
      </w:r>
      <w:r w:rsidRPr="005D4C82">
        <w:rPr>
          <w:rFonts w:ascii="Arial" w:eastAsia="Arial" w:hAnsi="Arial" w:cs="Arial"/>
          <w:lang w:val="es-ES"/>
        </w:rPr>
        <w:t xml:space="preserve"> con </w:t>
      </w:r>
      <w:r w:rsidRPr="004E3DF2">
        <w:rPr>
          <w:rFonts w:ascii="Arial" w:eastAsia="Arial" w:hAnsi="Arial" w:cs="Arial"/>
          <w:u w:val="single"/>
          <w:lang w:val="es-ES"/>
        </w:rPr>
        <w:t>carácter PREVIO a la tramitación</w:t>
      </w:r>
      <w:r w:rsidRPr="005D4C82">
        <w:rPr>
          <w:rFonts w:ascii="Arial" w:eastAsia="Arial" w:hAnsi="Arial" w:cs="Arial"/>
          <w:lang w:val="es-ES"/>
        </w:rPr>
        <w:t xml:space="preserve"> de esta Oferta de Emple</w:t>
      </w:r>
      <w:r>
        <w:rPr>
          <w:rFonts w:ascii="Arial" w:eastAsia="Arial" w:hAnsi="Arial" w:cs="Arial"/>
          <w:lang w:val="es-ES"/>
        </w:rPr>
        <w:t>o Público:</w:t>
      </w:r>
    </w:p>
    <w:p w:rsidR="003868E9" w:rsidRPr="00FF4F7F" w:rsidRDefault="003868E9" w:rsidP="003868E9">
      <w:pPr>
        <w:pStyle w:val="Prrafodelista"/>
        <w:numPr>
          <w:ilvl w:val="0"/>
          <w:numId w:val="11"/>
        </w:numPr>
        <w:spacing w:after="240" w:line="360" w:lineRule="auto"/>
        <w:jc w:val="both"/>
        <w:rPr>
          <w:rFonts w:ascii="Arial" w:eastAsia="Arial" w:hAnsi="Arial" w:cs="Arial"/>
          <w:sz w:val="24"/>
          <w:szCs w:val="24"/>
          <w:lang w:val="es-ES"/>
        </w:rPr>
      </w:pPr>
      <w:r w:rsidRPr="00FF4F7F">
        <w:rPr>
          <w:rFonts w:ascii="Arial" w:eastAsia="Arial" w:hAnsi="Arial" w:cs="Arial"/>
          <w:sz w:val="24"/>
          <w:szCs w:val="24"/>
          <w:lang w:val="es-ES"/>
        </w:rPr>
        <w:t xml:space="preserve">Se reúna la </w:t>
      </w:r>
      <w:r w:rsidRPr="004E3DF2">
        <w:rPr>
          <w:rFonts w:ascii="Arial" w:eastAsia="Arial" w:hAnsi="Arial" w:cs="Arial"/>
          <w:b/>
          <w:sz w:val="24"/>
          <w:szCs w:val="24"/>
          <w:lang w:val="es-ES"/>
        </w:rPr>
        <w:t>Subcomisión de Seguimiento de la Cláusula Séptima del Acuerdo</w:t>
      </w:r>
      <w:r w:rsidRPr="00FF4F7F">
        <w:rPr>
          <w:rFonts w:ascii="Arial" w:eastAsia="Arial" w:hAnsi="Arial" w:cs="Arial"/>
          <w:sz w:val="24"/>
          <w:szCs w:val="24"/>
          <w:lang w:val="es-ES"/>
        </w:rPr>
        <w:t xml:space="preserve"> para el desarrollo de un Plan de Estabilidad en el Empleo de los Servicios Públicos con el fin de determinar, fijar y finalizar los buzones de Puestos (Indefinidos no Fijos, Interinos anteriores al año 2005, laborales anteriores al año 2005 y plazas ocupadas por interinos o temporales en los períodos 31.12.13 a 31.12.16 y 31.12.14 a 31.12.17) y su posterior aplicación y distribución entre las Ofertas de Empleo Público d</w:t>
      </w:r>
      <w:r>
        <w:rPr>
          <w:rFonts w:ascii="Arial" w:eastAsia="Arial" w:hAnsi="Arial" w:cs="Arial"/>
          <w:sz w:val="24"/>
          <w:szCs w:val="24"/>
          <w:lang w:val="es-ES"/>
        </w:rPr>
        <w:t>e 2018 a 2020.</w:t>
      </w:r>
    </w:p>
    <w:p w:rsidR="003868E9" w:rsidRPr="00FF4F7F" w:rsidRDefault="003868E9" w:rsidP="003868E9">
      <w:pPr>
        <w:pStyle w:val="Prrafodelista"/>
        <w:spacing w:after="240" w:line="360" w:lineRule="auto"/>
        <w:jc w:val="both"/>
        <w:rPr>
          <w:rFonts w:ascii="Arial" w:eastAsia="Arial" w:hAnsi="Arial" w:cs="Arial"/>
          <w:sz w:val="24"/>
          <w:szCs w:val="24"/>
          <w:lang w:val="es-ES"/>
        </w:rPr>
      </w:pPr>
    </w:p>
    <w:p w:rsidR="003868E9" w:rsidRPr="00FF4F7F" w:rsidRDefault="003868E9" w:rsidP="003868E9">
      <w:pPr>
        <w:pStyle w:val="Prrafodelista"/>
        <w:numPr>
          <w:ilvl w:val="0"/>
          <w:numId w:val="11"/>
        </w:numPr>
        <w:spacing w:after="240" w:line="360" w:lineRule="auto"/>
        <w:jc w:val="both"/>
        <w:rPr>
          <w:rFonts w:ascii="Arial" w:eastAsia="Arial" w:hAnsi="Arial" w:cs="Arial"/>
          <w:sz w:val="24"/>
          <w:szCs w:val="24"/>
          <w:lang w:val="es-ES"/>
        </w:rPr>
      </w:pPr>
      <w:r w:rsidRPr="00FF4F7F">
        <w:rPr>
          <w:rFonts w:ascii="Arial" w:eastAsia="Arial" w:hAnsi="Arial" w:cs="Arial"/>
          <w:sz w:val="24"/>
          <w:szCs w:val="24"/>
          <w:lang w:val="es-ES"/>
        </w:rPr>
        <w:t xml:space="preserve">Se proceda a </w:t>
      </w:r>
      <w:r w:rsidR="004E3DF2">
        <w:rPr>
          <w:rFonts w:ascii="Arial" w:eastAsia="Arial" w:hAnsi="Arial" w:cs="Arial"/>
          <w:sz w:val="24"/>
          <w:szCs w:val="24"/>
          <w:lang w:val="es-ES"/>
        </w:rPr>
        <w:t xml:space="preserve">la </w:t>
      </w:r>
      <w:r w:rsidRPr="00FF4F7F">
        <w:rPr>
          <w:rFonts w:ascii="Arial" w:eastAsia="Arial" w:hAnsi="Arial" w:cs="Arial"/>
          <w:sz w:val="24"/>
          <w:szCs w:val="24"/>
          <w:lang w:val="es-ES"/>
        </w:rPr>
        <w:t>t</w:t>
      </w:r>
      <w:r w:rsidRPr="004E3DF2">
        <w:rPr>
          <w:rFonts w:ascii="Arial" w:eastAsia="Arial" w:hAnsi="Arial" w:cs="Arial"/>
          <w:b/>
          <w:sz w:val="24"/>
          <w:szCs w:val="24"/>
          <w:lang w:val="es-ES"/>
        </w:rPr>
        <w:t xml:space="preserve">ransposición en la Comunidad Autónoma de Galicia del II Acuerdo Gobierno Sindicatos </w:t>
      </w:r>
      <w:r w:rsidRPr="00FF4F7F">
        <w:rPr>
          <w:rFonts w:ascii="Arial" w:eastAsia="Arial" w:hAnsi="Arial" w:cs="Arial"/>
          <w:sz w:val="24"/>
          <w:szCs w:val="24"/>
          <w:lang w:val="es-ES"/>
        </w:rPr>
        <w:t xml:space="preserve">para la mejora del empleo Público y las Condiciones de trabajo, firmado en Madrid entre el Gobierno de España, y entre otras, esta Organización Sindical el día 09.03.18 </w:t>
      </w:r>
      <w:bookmarkStart w:id="1" w:name="_gjdgxs" w:colFirst="0" w:colLast="0"/>
      <w:bookmarkEnd w:id="1"/>
    </w:p>
    <w:p w:rsidR="003868E9" w:rsidRPr="005D4C82" w:rsidRDefault="003868E9" w:rsidP="003868E9">
      <w:pPr>
        <w:pStyle w:val="Ttulo1"/>
        <w:ind w:left="360"/>
        <w:rPr>
          <w:rFonts w:ascii="Arial" w:eastAsia="Arial" w:hAnsi="Arial" w:cs="Arial"/>
          <w:sz w:val="24"/>
          <w:szCs w:val="24"/>
          <w:lang w:val="es-ES"/>
        </w:rPr>
      </w:pPr>
      <w:r w:rsidRPr="005D4C82">
        <w:rPr>
          <w:rFonts w:ascii="Arial" w:eastAsia="Arial" w:hAnsi="Arial" w:cs="Arial"/>
          <w:sz w:val="24"/>
          <w:szCs w:val="24"/>
          <w:lang w:val="es-ES"/>
        </w:rPr>
        <w:t>Anexo I. Plazas de nuevo ingreso</w:t>
      </w:r>
    </w:p>
    <w:p w:rsidR="003868E9" w:rsidRPr="005D4C82" w:rsidRDefault="003868E9" w:rsidP="003868E9">
      <w:pPr>
        <w:pBdr>
          <w:top w:val="nil"/>
          <w:left w:val="nil"/>
          <w:bottom w:val="nil"/>
          <w:right w:val="nil"/>
          <w:between w:val="nil"/>
        </w:pBdr>
        <w:spacing w:line="360" w:lineRule="auto"/>
        <w:ind w:left="720" w:hanging="720"/>
        <w:jc w:val="both"/>
        <w:rPr>
          <w:rFonts w:ascii="Arial" w:eastAsia="Arial" w:hAnsi="Arial" w:cs="Arial"/>
          <w:color w:val="000000"/>
          <w:lang w:val="es-ES"/>
        </w:rPr>
      </w:pPr>
    </w:p>
    <w:p w:rsidR="003868E9" w:rsidRPr="00245AE4" w:rsidRDefault="003868E9" w:rsidP="003868E9">
      <w:pPr>
        <w:numPr>
          <w:ilvl w:val="0"/>
          <w:numId w:val="12"/>
        </w:numPr>
        <w:pBdr>
          <w:top w:val="nil"/>
          <w:left w:val="nil"/>
          <w:bottom w:val="nil"/>
          <w:right w:val="nil"/>
          <w:between w:val="nil"/>
        </w:pBdr>
        <w:spacing w:after="240" w:line="360" w:lineRule="auto"/>
        <w:jc w:val="both"/>
        <w:rPr>
          <w:rFonts w:ascii="Arial" w:eastAsia="Arial" w:hAnsi="Arial" w:cs="Arial"/>
          <w:color w:val="000000"/>
          <w:lang w:val="es-ES"/>
        </w:rPr>
      </w:pPr>
      <w:r w:rsidRPr="005D4C82">
        <w:rPr>
          <w:rFonts w:ascii="Arial" w:eastAsia="Arial" w:hAnsi="Arial" w:cs="Arial"/>
          <w:color w:val="000000"/>
          <w:lang w:val="es-ES"/>
        </w:rPr>
        <w:t xml:space="preserve">Se cuantifican 502 plazas con cargo a la tasa de reposición de efectivos para el 2018 sin aportar dato alguno justificativo de dicha cifra. Por ello, </w:t>
      </w:r>
      <w:r w:rsidRPr="005D4C82">
        <w:rPr>
          <w:rFonts w:ascii="Arial" w:eastAsia="Arial" w:hAnsi="Arial" w:cs="Arial"/>
          <w:b/>
          <w:color w:val="000000"/>
          <w:lang w:val="es-ES"/>
        </w:rPr>
        <w:t>solicitamos se nos aporten datos concretos referidos al año 2017</w:t>
      </w:r>
      <w:r w:rsidRPr="005D4C82">
        <w:rPr>
          <w:rFonts w:ascii="Arial" w:eastAsia="Arial" w:hAnsi="Arial" w:cs="Arial"/>
          <w:color w:val="000000"/>
          <w:lang w:val="es-ES"/>
        </w:rPr>
        <w:t xml:space="preserve"> sobre el total de </w:t>
      </w:r>
      <w:r w:rsidRPr="005D4C82">
        <w:rPr>
          <w:rFonts w:ascii="Arial" w:eastAsia="Arial" w:hAnsi="Arial" w:cs="Arial"/>
          <w:color w:val="000000"/>
          <w:u w:val="single"/>
          <w:lang w:val="es-ES"/>
        </w:rPr>
        <w:t>jubilaciones</w:t>
      </w:r>
      <w:r w:rsidRPr="005D4C82">
        <w:rPr>
          <w:rFonts w:ascii="Arial" w:eastAsia="Arial" w:hAnsi="Arial" w:cs="Arial"/>
          <w:color w:val="000000"/>
          <w:lang w:val="es-ES"/>
        </w:rPr>
        <w:t xml:space="preserve">, </w:t>
      </w:r>
      <w:r w:rsidRPr="005D4C82">
        <w:rPr>
          <w:rFonts w:ascii="Arial" w:eastAsia="Arial" w:hAnsi="Arial" w:cs="Arial"/>
          <w:color w:val="000000"/>
          <w:u w:val="single"/>
          <w:lang w:val="es-ES"/>
        </w:rPr>
        <w:t>fallecimientos</w:t>
      </w:r>
      <w:r w:rsidRPr="005D4C82">
        <w:rPr>
          <w:rFonts w:ascii="Arial" w:eastAsia="Arial" w:hAnsi="Arial" w:cs="Arial"/>
          <w:color w:val="000000"/>
          <w:lang w:val="es-ES"/>
        </w:rPr>
        <w:t xml:space="preserve">, </w:t>
      </w:r>
      <w:r w:rsidRPr="005D4C82">
        <w:rPr>
          <w:rFonts w:ascii="Arial" w:eastAsia="Arial" w:hAnsi="Arial" w:cs="Arial"/>
          <w:color w:val="000000"/>
          <w:u w:val="single"/>
          <w:lang w:val="es-ES"/>
        </w:rPr>
        <w:t>renuncias</w:t>
      </w:r>
      <w:r w:rsidRPr="005D4C82">
        <w:rPr>
          <w:rFonts w:ascii="Arial" w:eastAsia="Arial" w:hAnsi="Arial" w:cs="Arial"/>
          <w:color w:val="000000"/>
          <w:lang w:val="es-ES"/>
        </w:rPr>
        <w:t xml:space="preserve">, </w:t>
      </w:r>
      <w:r w:rsidRPr="005D4C82">
        <w:rPr>
          <w:rFonts w:ascii="Arial" w:eastAsia="Arial" w:hAnsi="Arial" w:cs="Arial"/>
          <w:color w:val="000000"/>
          <w:u w:val="single"/>
          <w:lang w:val="es-ES"/>
        </w:rPr>
        <w:t>excedencias</w:t>
      </w:r>
      <w:r w:rsidRPr="005D4C82">
        <w:rPr>
          <w:rFonts w:ascii="Arial" w:eastAsia="Arial" w:hAnsi="Arial" w:cs="Arial"/>
          <w:color w:val="000000"/>
          <w:lang w:val="es-ES"/>
        </w:rPr>
        <w:t xml:space="preserve">, </w:t>
      </w:r>
      <w:r w:rsidRPr="005D4C82">
        <w:rPr>
          <w:rFonts w:ascii="Arial" w:eastAsia="Arial" w:hAnsi="Arial" w:cs="Arial"/>
          <w:color w:val="000000"/>
          <w:u w:val="single"/>
          <w:lang w:val="es-ES"/>
        </w:rPr>
        <w:t>bajas definitivas</w:t>
      </w:r>
      <w:r w:rsidRPr="005D4C82">
        <w:rPr>
          <w:rFonts w:ascii="Arial" w:eastAsia="Arial" w:hAnsi="Arial" w:cs="Arial"/>
          <w:color w:val="000000"/>
          <w:lang w:val="es-ES"/>
        </w:rPr>
        <w:t xml:space="preserve">, </w:t>
      </w:r>
      <w:r w:rsidRPr="005D4C82">
        <w:rPr>
          <w:rFonts w:ascii="Arial" w:eastAsia="Arial" w:hAnsi="Arial" w:cs="Arial"/>
          <w:color w:val="000000"/>
          <w:u w:val="single"/>
          <w:lang w:val="es-ES"/>
        </w:rPr>
        <w:t>reingresos</w:t>
      </w:r>
      <w:r w:rsidRPr="005D4C82">
        <w:rPr>
          <w:rFonts w:ascii="Arial" w:eastAsia="Arial" w:hAnsi="Arial" w:cs="Arial"/>
          <w:color w:val="000000"/>
          <w:lang w:val="es-ES"/>
        </w:rPr>
        <w:t xml:space="preserve"> y </w:t>
      </w:r>
      <w:r w:rsidRPr="005D4C82">
        <w:rPr>
          <w:rFonts w:ascii="Arial" w:eastAsia="Arial" w:hAnsi="Arial" w:cs="Arial"/>
          <w:color w:val="000000"/>
          <w:u w:val="single"/>
          <w:lang w:val="es-ES"/>
        </w:rPr>
        <w:t>altas y bajas producidas por los concursos de traslados a otras administraciones</w:t>
      </w:r>
    </w:p>
    <w:p w:rsidR="003868E9" w:rsidRDefault="003868E9" w:rsidP="003868E9">
      <w:pPr>
        <w:numPr>
          <w:ilvl w:val="0"/>
          <w:numId w:val="12"/>
        </w:numPr>
        <w:pBdr>
          <w:top w:val="nil"/>
          <w:left w:val="nil"/>
          <w:bottom w:val="nil"/>
          <w:right w:val="nil"/>
          <w:between w:val="nil"/>
        </w:pBdr>
        <w:spacing w:after="240" w:line="360" w:lineRule="auto"/>
        <w:jc w:val="both"/>
        <w:rPr>
          <w:rFonts w:ascii="Arial" w:eastAsia="Arial" w:hAnsi="Arial" w:cs="Arial"/>
          <w:color w:val="000000"/>
          <w:lang w:val="es-ES"/>
        </w:rPr>
      </w:pPr>
      <w:r w:rsidRPr="003868E9">
        <w:rPr>
          <w:rFonts w:ascii="Arial" w:eastAsia="Arial" w:hAnsi="Arial" w:cs="Arial"/>
          <w:b/>
          <w:color w:val="000000"/>
          <w:lang w:val="es-ES"/>
        </w:rPr>
        <w:lastRenderedPageBreak/>
        <w:t>No se respeta, entre otros, el ACUERDO DE BOMBEROS FORESTALES</w:t>
      </w:r>
      <w:r w:rsidRPr="00245AE4">
        <w:rPr>
          <w:rFonts w:ascii="Arial" w:eastAsia="Arial" w:hAnsi="Arial" w:cs="Arial"/>
          <w:color w:val="000000"/>
          <w:lang w:val="es-ES"/>
        </w:rPr>
        <w:t>. Dicho acuerdo establece que un mínimo del 20 por ciento del total de la OPE será de plazas pertenecientes a categorías del Servicio de Prevención y Extinción de Incendios Forestales.</w:t>
      </w:r>
      <w:r>
        <w:rPr>
          <w:rFonts w:ascii="Arial" w:eastAsia="Arial" w:hAnsi="Arial" w:cs="Arial"/>
          <w:color w:val="000000"/>
          <w:lang w:val="es-ES"/>
        </w:rPr>
        <w:t xml:space="preserve"> </w:t>
      </w:r>
      <w:r w:rsidRPr="00245AE4">
        <w:rPr>
          <w:rFonts w:ascii="Arial" w:eastAsia="Arial" w:hAnsi="Arial" w:cs="Arial"/>
          <w:color w:val="000000"/>
          <w:lang w:val="es-ES"/>
        </w:rPr>
        <w:t>Además, las plazas que se ofertan, tanto del SPDCIF como de otros colectivos como Política Social, se ofertan como plazas de personal funcionario, afectando gravemente a los intereses de los trabajadores (requisitos de acceso, ausencia de promoción interna…). Deben convocarse como lo que son; plazas de personal laboral.</w:t>
      </w:r>
    </w:p>
    <w:p w:rsidR="008C376B" w:rsidRPr="00245AE4" w:rsidRDefault="008C376B" w:rsidP="003868E9">
      <w:pPr>
        <w:numPr>
          <w:ilvl w:val="0"/>
          <w:numId w:val="12"/>
        </w:numPr>
        <w:pBdr>
          <w:top w:val="nil"/>
          <w:left w:val="nil"/>
          <w:bottom w:val="nil"/>
          <w:right w:val="nil"/>
          <w:between w:val="nil"/>
        </w:pBdr>
        <w:spacing w:after="240" w:line="360" w:lineRule="auto"/>
        <w:jc w:val="both"/>
        <w:rPr>
          <w:rFonts w:ascii="Arial" w:eastAsia="Arial" w:hAnsi="Arial" w:cs="Arial"/>
          <w:color w:val="000000"/>
          <w:lang w:val="es-ES"/>
        </w:rPr>
      </w:pPr>
      <w:r>
        <w:rPr>
          <w:rFonts w:ascii="Arial" w:eastAsia="Arial" w:hAnsi="Arial" w:cs="Arial"/>
          <w:b/>
          <w:color w:val="000000"/>
          <w:lang w:val="es-ES"/>
        </w:rPr>
        <w:t>Tampoco se respeta el ACUERDO DE LEGOEIROS</w:t>
      </w:r>
      <w:r>
        <w:rPr>
          <w:rFonts w:ascii="Arial" w:eastAsia="Arial" w:hAnsi="Arial" w:cs="Arial"/>
          <w:color w:val="000000"/>
          <w:lang w:val="es-ES"/>
        </w:rPr>
        <w:t xml:space="preserve">. En tal acuerdo la Administración se comprometía a la creación de un mínimo de 57 plazas, de las cuales de 38 deberían estar ya convocadas y resueltas en el año 2018 y las 19 restantes </w:t>
      </w:r>
      <w:r w:rsidR="00DC4381">
        <w:rPr>
          <w:rFonts w:ascii="Arial" w:eastAsia="Arial" w:hAnsi="Arial" w:cs="Arial"/>
          <w:color w:val="000000"/>
          <w:lang w:val="es-ES"/>
        </w:rPr>
        <w:t xml:space="preserve">serían ofertadas en el año 2019. </w:t>
      </w:r>
    </w:p>
    <w:p w:rsidR="003868E9" w:rsidRPr="005D4C82" w:rsidRDefault="003868E9" w:rsidP="003868E9">
      <w:pPr>
        <w:numPr>
          <w:ilvl w:val="0"/>
          <w:numId w:val="12"/>
        </w:numPr>
        <w:pBdr>
          <w:top w:val="nil"/>
          <w:left w:val="nil"/>
          <w:bottom w:val="nil"/>
          <w:right w:val="nil"/>
          <w:between w:val="nil"/>
        </w:pBdr>
        <w:spacing w:after="240" w:line="360" w:lineRule="auto"/>
        <w:jc w:val="both"/>
        <w:rPr>
          <w:rFonts w:ascii="Arial" w:eastAsia="Arial" w:hAnsi="Arial" w:cs="Arial"/>
          <w:color w:val="000000"/>
          <w:lang w:val="es-ES"/>
        </w:rPr>
      </w:pPr>
      <w:r w:rsidRPr="005D4C82">
        <w:rPr>
          <w:rFonts w:ascii="Arial" w:eastAsia="Arial" w:hAnsi="Arial" w:cs="Arial"/>
          <w:b/>
          <w:color w:val="000000"/>
          <w:lang w:val="es-ES"/>
        </w:rPr>
        <w:t>Exigimos</w:t>
      </w:r>
      <w:r w:rsidRPr="005D4C82">
        <w:rPr>
          <w:rFonts w:ascii="Arial" w:eastAsia="Arial" w:hAnsi="Arial" w:cs="Arial"/>
          <w:color w:val="000000"/>
          <w:lang w:val="es-ES"/>
        </w:rPr>
        <w:t xml:space="preserve"> que expresamente figure no Decreto que las plazas que figuran en el Anexo I sean igualmente cubiertas por el sistema de </w:t>
      </w:r>
      <w:r w:rsidRPr="005D4C82">
        <w:rPr>
          <w:rFonts w:ascii="Arial" w:eastAsia="Arial" w:hAnsi="Arial" w:cs="Arial"/>
          <w:b/>
          <w:color w:val="000000"/>
          <w:lang w:val="es-ES"/>
        </w:rPr>
        <w:t>concurso-oposición</w:t>
      </w:r>
      <w:r w:rsidRPr="005D4C82">
        <w:rPr>
          <w:rFonts w:ascii="Arial" w:eastAsia="Arial" w:hAnsi="Arial" w:cs="Arial"/>
          <w:color w:val="000000"/>
          <w:lang w:val="es-ES"/>
        </w:rPr>
        <w:t>, del mismo modo que se menciona expresamente en el caso de las plazas que figuran nos Anexos II e III. No resulta procedente que en una misma OEP en unos casos se utilice el sistema de oposición y en otros el de concurso-oposición.</w:t>
      </w:r>
    </w:p>
    <w:p w:rsidR="003868E9" w:rsidRPr="005D4C82" w:rsidRDefault="003868E9" w:rsidP="003868E9">
      <w:pPr>
        <w:pStyle w:val="Ttulo1"/>
        <w:rPr>
          <w:rFonts w:ascii="Arial" w:eastAsia="Arial" w:hAnsi="Arial" w:cs="Arial"/>
          <w:sz w:val="24"/>
          <w:szCs w:val="24"/>
          <w:lang w:val="es-ES"/>
        </w:rPr>
      </w:pPr>
      <w:r w:rsidRPr="005D4C82">
        <w:rPr>
          <w:rFonts w:ascii="Arial" w:eastAsia="Arial" w:hAnsi="Arial" w:cs="Arial"/>
          <w:sz w:val="24"/>
          <w:szCs w:val="24"/>
          <w:lang w:val="es-ES"/>
        </w:rPr>
        <w:t>Anexo II.- Procesos de Estabilización.</w:t>
      </w:r>
    </w:p>
    <w:p w:rsidR="003868E9" w:rsidRPr="005D4C82" w:rsidRDefault="003868E9" w:rsidP="003868E9">
      <w:pPr>
        <w:rPr>
          <w:rFonts w:ascii="Arial" w:eastAsia="Arial" w:hAnsi="Arial" w:cs="Arial"/>
          <w:lang w:val="es-ES"/>
        </w:rPr>
      </w:pPr>
    </w:p>
    <w:p w:rsidR="003868E9" w:rsidRPr="00245AE4" w:rsidRDefault="003868E9" w:rsidP="003868E9">
      <w:pPr>
        <w:spacing w:after="240" w:line="360" w:lineRule="auto"/>
        <w:jc w:val="both"/>
        <w:rPr>
          <w:rFonts w:ascii="Arial" w:eastAsia="Arial" w:hAnsi="Arial" w:cs="Arial"/>
          <w:lang w:val="es-ES"/>
        </w:rPr>
      </w:pPr>
      <w:r w:rsidRPr="00245AE4">
        <w:rPr>
          <w:rFonts w:ascii="Arial" w:eastAsia="Arial" w:hAnsi="Arial" w:cs="Arial"/>
          <w:lang w:val="es-ES"/>
        </w:rPr>
        <w:t>En primer lugar hay que hacer constar que tal y co</w:t>
      </w:r>
      <w:r>
        <w:rPr>
          <w:rFonts w:ascii="Arial" w:eastAsia="Arial" w:hAnsi="Arial" w:cs="Arial"/>
          <w:lang w:val="es-ES"/>
        </w:rPr>
        <w:t>mo se argumenta con anterioridad</w:t>
      </w:r>
      <w:r w:rsidRPr="00245AE4">
        <w:rPr>
          <w:rFonts w:ascii="Arial" w:eastAsia="Arial" w:hAnsi="Arial" w:cs="Arial"/>
          <w:lang w:val="es-ES"/>
        </w:rPr>
        <w:t xml:space="preserve">, la Administración concreta un número de plazas </w:t>
      </w:r>
      <w:r w:rsidRPr="004E3DF2">
        <w:rPr>
          <w:rFonts w:ascii="Arial" w:eastAsia="Arial" w:hAnsi="Arial" w:cs="Arial"/>
          <w:b/>
          <w:lang w:val="es-ES"/>
        </w:rPr>
        <w:t>sin enviar ningún tipo de justificación</w:t>
      </w:r>
      <w:r w:rsidRPr="00245AE4">
        <w:rPr>
          <w:rFonts w:ascii="Arial" w:eastAsia="Arial" w:hAnsi="Arial" w:cs="Arial"/>
          <w:lang w:val="es-ES"/>
        </w:rPr>
        <w:t xml:space="preserve"> documental de dichas cantidades ni distribución.</w:t>
      </w:r>
    </w:p>
    <w:p w:rsidR="003868E9" w:rsidRPr="00245AE4" w:rsidRDefault="003868E9" w:rsidP="003868E9">
      <w:pPr>
        <w:spacing w:after="240" w:line="360" w:lineRule="auto"/>
        <w:jc w:val="both"/>
        <w:rPr>
          <w:rFonts w:ascii="Arial" w:eastAsia="Arial" w:hAnsi="Arial" w:cs="Arial"/>
          <w:lang w:val="es-ES"/>
        </w:rPr>
      </w:pPr>
      <w:r w:rsidRPr="00245AE4">
        <w:rPr>
          <w:rFonts w:ascii="Arial" w:eastAsia="Arial" w:hAnsi="Arial" w:cs="Arial"/>
          <w:lang w:val="es-ES"/>
        </w:rPr>
        <w:t>A mayor abundamiento, dichas cifras difieren de la</w:t>
      </w:r>
      <w:r>
        <w:rPr>
          <w:rFonts w:ascii="Arial" w:eastAsia="Arial" w:hAnsi="Arial" w:cs="Arial"/>
          <w:lang w:val="es-ES"/>
        </w:rPr>
        <w:t xml:space="preserve">s cifras facilitadas en la </w:t>
      </w:r>
      <w:r w:rsidRPr="00245AE4">
        <w:rPr>
          <w:rFonts w:ascii="Arial" w:eastAsia="Arial" w:hAnsi="Arial" w:cs="Arial"/>
          <w:lang w:val="es-ES"/>
        </w:rPr>
        <w:t>reunión inicial</w:t>
      </w:r>
      <w:r>
        <w:rPr>
          <w:rFonts w:ascii="Arial" w:eastAsia="Arial" w:hAnsi="Arial" w:cs="Arial"/>
          <w:lang w:val="es-ES"/>
        </w:rPr>
        <w:t xml:space="preserve"> (y única)</w:t>
      </w:r>
      <w:r w:rsidRPr="00245AE4">
        <w:rPr>
          <w:rFonts w:ascii="Arial" w:eastAsia="Arial" w:hAnsi="Arial" w:cs="Arial"/>
          <w:lang w:val="es-ES"/>
        </w:rPr>
        <w:t xml:space="preserve"> de la Subcomisión de seguimiento del acuerdo de Mejora. Sin ánimo de ser exhaustivos podemos afirmar que</w:t>
      </w:r>
      <w:r>
        <w:rPr>
          <w:rFonts w:ascii="Arial" w:eastAsia="Arial" w:hAnsi="Arial" w:cs="Arial"/>
          <w:lang w:val="es-ES"/>
        </w:rPr>
        <w:t>:</w:t>
      </w:r>
    </w:p>
    <w:p w:rsidR="003868E9" w:rsidRPr="00245AE4" w:rsidRDefault="003868E9" w:rsidP="003868E9">
      <w:pPr>
        <w:spacing w:after="240" w:line="360" w:lineRule="auto"/>
        <w:jc w:val="both"/>
        <w:rPr>
          <w:rFonts w:ascii="Arial" w:eastAsia="Arial" w:hAnsi="Arial" w:cs="Arial"/>
          <w:lang w:val="es-ES"/>
        </w:rPr>
      </w:pPr>
      <w:r w:rsidRPr="00245AE4">
        <w:rPr>
          <w:rFonts w:ascii="Arial" w:eastAsia="Arial" w:hAnsi="Arial" w:cs="Arial"/>
          <w:lang w:val="es-ES"/>
        </w:rPr>
        <w:lastRenderedPageBreak/>
        <w:t xml:space="preserve">En el buzón de puestos de personal laboral </w:t>
      </w:r>
      <w:r>
        <w:rPr>
          <w:rFonts w:ascii="Arial" w:eastAsia="Arial" w:hAnsi="Arial" w:cs="Arial"/>
          <w:lang w:val="es-ES"/>
        </w:rPr>
        <w:t xml:space="preserve">temporal </w:t>
      </w:r>
      <w:r w:rsidRPr="00245AE4">
        <w:rPr>
          <w:rFonts w:ascii="Arial" w:eastAsia="Arial" w:hAnsi="Arial" w:cs="Arial"/>
          <w:lang w:val="es-ES"/>
        </w:rPr>
        <w:t>anterior al 2005 facilitado por la Administración figuraban 391 plazas que no son objeto de la presente Oferta de Empleo Público, sin que la Administración otorgue motivación o razón alguna.</w:t>
      </w:r>
    </w:p>
    <w:p w:rsidR="003868E9" w:rsidRPr="00245AE4" w:rsidRDefault="003868E9" w:rsidP="003868E9">
      <w:pPr>
        <w:spacing w:after="240" w:line="360" w:lineRule="auto"/>
        <w:jc w:val="both"/>
        <w:rPr>
          <w:rFonts w:ascii="Arial" w:eastAsia="Arial" w:hAnsi="Arial" w:cs="Arial"/>
          <w:lang w:val="es-ES"/>
        </w:rPr>
      </w:pPr>
      <w:r w:rsidRPr="00245AE4">
        <w:rPr>
          <w:rFonts w:ascii="Arial" w:eastAsia="Arial" w:hAnsi="Arial" w:cs="Arial"/>
          <w:lang w:val="es-ES"/>
        </w:rPr>
        <w:t xml:space="preserve">En el buzón de puestos de personal </w:t>
      </w:r>
      <w:r>
        <w:rPr>
          <w:rFonts w:ascii="Arial" w:eastAsia="Arial" w:hAnsi="Arial" w:cs="Arial"/>
          <w:lang w:val="es-ES"/>
        </w:rPr>
        <w:t xml:space="preserve">funcionario </w:t>
      </w:r>
      <w:r w:rsidRPr="00245AE4">
        <w:rPr>
          <w:rFonts w:ascii="Arial" w:eastAsia="Arial" w:hAnsi="Arial" w:cs="Arial"/>
          <w:lang w:val="es-ES"/>
        </w:rPr>
        <w:t>interino anterior al 2005 facilitado por la Administración figuraban 118 plazas, de las cuales solo 27 se recogen en la presente Oferta de Empleo Público, sin que la Administración otorgue motivación o razón alguna.</w:t>
      </w:r>
    </w:p>
    <w:p w:rsidR="003868E9" w:rsidRPr="00245AE4" w:rsidRDefault="003868E9" w:rsidP="003868E9">
      <w:pPr>
        <w:spacing w:after="240" w:line="360" w:lineRule="auto"/>
        <w:jc w:val="both"/>
        <w:rPr>
          <w:rFonts w:ascii="Arial" w:eastAsia="Arial" w:hAnsi="Arial" w:cs="Arial"/>
          <w:lang w:val="es-ES"/>
        </w:rPr>
      </w:pPr>
      <w:r w:rsidRPr="00245AE4">
        <w:rPr>
          <w:rFonts w:ascii="Arial" w:eastAsia="Arial" w:hAnsi="Arial" w:cs="Arial"/>
          <w:lang w:val="es-ES"/>
        </w:rPr>
        <w:t>En dicha comisión de seguimiento la Administración se comprometió a enviar un Buzón de Puestos de Estabilización para determinar que plazas se hallaban comprendidas en el capítulo de plazas ocupadas temporalmente en los tres años anteriores al acuerdo (período 31.12.13-31.12.16 si nos referimos al primer acuerdo, y período 31.12.14-31.12.17 si nos referimos a aplicar el II Acuerdo de Madrid, aún no firmado en Galicia).</w:t>
      </w:r>
    </w:p>
    <w:p w:rsidR="003868E9" w:rsidRPr="00245AE4" w:rsidRDefault="003868E9" w:rsidP="003868E9">
      <w:pPr>
        <w:spacing w:after="240" w:line="360" w:lineRule="auto"/>
        <w:jc w:val="both"/>
        <w:rPr>
          <w:rFonts w:ascii="Arial" w:eastAsia="Arial" w:hAnsi="Arial" w:cs="Arial"/>
          <w:lang w:val="es-ES"/>
        </w:rPr>
      </w:pPr>
      <w:r w:rsidRPr="00245AE4">
        <w:rPr>
          <w:rFonts w:ascii="Arial" w:eastAsia="Arial" w:hAnsi="Arial" w:cs="Arial"/>
          <w:lang w:val="es-ES"/>
        </w:rPr>
        <w:t>Pues bien, sin que se hayan remitido dichos buzones, la Administración incumpliendo todo lo pactado, determina “</w:t>
      </w:r>
      <w:r w:rsidRPr="004E3DF2">
        <w:rPr>
          <w:rFonts w:ascii="Arial" w:eastAsia="Arial" w:hAnsi="Arial" w:cs="Arial"/>
          <w:b/>
          <w:i/>
          <w:lang w:val="es-ES"/>
        </w:rPr>
        <w:t>manu militare</w:t>
      </w:r>
      <w:r w:rsidRPr="00245AE4">
        <w:rPr>
          <w:rFonts w:ascii="Arial" w:eastAsia="Arial" w:hAnsi="Arial" w:cs="Arial"/>
          <w:lang w:val="es-ES"/>
        </w:rPr>
        <w:t>” que dichas plazas son 656 d</w:t>
      </w:r>
      <w:r>
        <w:rPr>
          <w:rFonts w:ascii="Arial" w:eastAsia="Arial" w:hAnsi="Arial" w:cs="Arial"/>
          <w:lang w:val="es-ES"/>
        </w:rPr>
        <w:t>e personal funcionario y cero</w:t>
      </w:r>
      <w:r w:rsidRPr="00245AE4">
        <w:rPr>
          <w:rFonts w:ascii="Arial" w:eastAsia="Arial" w:hAnsi="Arial" w:cs="Arial"/>
          <w:lang w:val="es-ES"/>
        </w:rPr>
        <w:t xml:space="preserve"> plazas de personal laboral.</w:t>
      </w:r>
    </w:p>
    <w:p w:rsidR="003868E9" w:rsidRPr="00245AE4" w:rsidRDefault="003868E9" w:rsidP="003868E9">
      <w:pPr>
        <w:spacing w:after="240" w:line="360" w:lineRule="auto"/>
        <w:jc w:val="both"/>
        <w:rPr>
          <w:rFonts w:ascii="Arial" w:eastAsia="Arial" w:hAnsi="Arial" w:cs="Arial"/>
          <w:lang w:val="es-ES"/>
        </w:rPr>
      </w:pPr>
      <w:r w:rsidRPr="00245AE4">
        <w:rPr>
          <w:rFonts w:ascii="Arial" w:eastAsia="Arial" w:hAnsi="Arial" w:cs="Arial"/>
          <w:lang w:val="es-ES"/>
        </w:rPr>
        <w:t xml:space="preserve">Es por ello que </w:t>
      </w:r>
      <w:r w:rsidRPr="004E3DF2">
        <w:rPr>
          <w:rFonts w:ascii="Arial" w:eastAsia="Arial" w:hAnsi="Arial" w:cs="Arial"/>
          <w:b/>
          <w:lang w:val="es-ES"/>
        </w:rPr>
        <w:t>reiteramos nuestra exigencia de retirada de este proyecto de oferta pública hasta la convocatoria y finalización de los trabajos de la comisión de seguimiento del Acuerdo de Estabilización y mejora del empleo público</w:t>
      </w:r>
      <w:r>
        <w:rPr>
          <w:rFonts w:ascii="Arial" w:eastAsia="Arial" w:hAnsi="Arial" w:cs="Arial"/>
          <w:lang w:val="es-ES"/>
        </w:rPr>
        <w:t>.</w:t>
      </w:r>
    </w:p>
    <w:p w:rsidR="003868E9" w:rsidRPr="00245AE4" w:rsidRDefault="003868E9" w:rsidP="003868E9">
      <w:pPr>
        <w:spacing w:after="240" w:line="360" w:lineRule="auto"/>
        <w:jc w:val="both"/>
        <w:rPr>
          <w:rFonts w:ascii="Arial" w:eastAsia="Arial" w:hAnsi="Arial" w:cs="Arial"/>
          <w:lang w:val="es-ES"/>
        </w:rPr>
      </w:pPr>
      <w:r w:rsidRPr="00245AE4">
        <w:rPr>
          <w:rFonts w:ascii="Arial" w:eastAsia="Arial" w:hAnsi="Arial" w:cs="Arial"/>
          <w:lang w:val="es-ES"/>
        </w:rPr>
        <w:t xml:space="preserve">Igualmente </w:t>
      </w:r>
      <w:r>
        <w:rPr>
          <w:rFonts w:ascii="Arial" w:eastAsia="Arial" w:hAnsi="Arial" w:cs="Arial"/>
          <w:lang w:val="es-ES"/>
        </w:rPr>
        <w:t>en dicha comisión propondremos</w:t>
      </w:r>
      <w:r w:rsidRPr="00245AE4">
        <w:rPr>
          <w:rFonts w:ascii="Arial" w:eastAsia="Arial" w:hAnsi="Arial" w:cs="Arial"/>
          <w:lang w:val="es-ES"/>
        </w:rPr>
        <w:t xml:space="preserve"> la división del Anexo II en dos partes, determinando de un lado las plazas objeto de Consolidación vía</w:t>
      </w:r>
      <w:r w:rsidR="00B36809">
        <w:rPr>
          <w:rFonts w:ascii="Arial" w:eastAsia="Arial" w:hAnsi="Arial" w:cs="Arial"/>
          <w:lang w:val="es-ES"/>
        </w:rPr>
        <w:t xml:space="preserve"> Disposición</w:t>
      </w:r>
      <w:r w:rsidRPr="00245AE4">
        <w:rPr>
          <w:rFonts w:ascii="Arial" w:eastAsia="Arial" w:hAnsi="Arial" w:cs="Arial"/>
          <w:lang w:val="es-ES"/>
        </w:rPr>
        <w:t xml:space="preserve"> Transitoria 4º y de otro las plazas del proceso de Estabilización, al ser procesos no similares, basarse en normas diferentes y conllevar un régimen jurídico distinto.</w:t>
      </w:r>
    </w:p>
    <w:p w:rsidR="003868E9" w:rsidRPr="005D4C82" w:rsidRDefault="003868E9" w:rsidP="003868E9">
      <w:pPr>
        <w:pStyle w:val="Ttulo1"/>
        <w:rPr>
          <w:rFonts w:ascii="Arial" w:eastAsia="Arial" w:hAnsi="Arial" w:cs="Arial"/>
          <w:sz w:val="24"/>
          <w:szCs w:val="24"/>
          <w:lang w:val="es-ES"/>
        </w:rPr>
      </w:pPr>
      <w:r w:rsidRPr="005D4C82">
        <w:rPr>
          <w:rFonts w:ascii="Arial" w:eastAsia="Arial" w:hAnsi="Arial" w:cs="Arial"/>
          <w:sz w:val="24"/>
          <w:szCs w:val="24"/>
          <w:lang w:val="es-ES"/>
        </w:rPr>
        <w:t>Anexo III. Personal Indefinido</w:t>
      </w:r>
      <w:r>
        <w:rPr>
          <w:rFonts w:ascii="Arial" w:eastAsia="Arial" w:hAnsi="Arial" w:cs="Arial"/>
          <w:sz w:val="24"/>
          <w:szCs w:val="24"/>
          <w:lang w:val="es-ES"/>
        </w:rPr>
        <w:t xml:space="preserve"> no fijo</w:t>
      </w:r>
    </w:p>
    <w:p w:rsidR="003868E9" w:rsidRDefault="003868E9" w:rsidP="003868E9">
      <w:pPr>
        <w:spacing w:after="140"/>
        <w:jc w:val="both"/>
        <w:rPr>
          <w:rFonts w:ascii="Arial" w:eastAsia="Arial" w:hAnsi="Arial" w:cs="Arial"/>
          <w:lang w:val="es-ES"/>
        </w:rPr>
      </w:pPr>
    </w:p>
    <w:p w:rsidR="003868E9" w:rsidRDefault="00931D56" w:rsidP="003868E9">
      <w:pPr>
        <w:spacing w:after="240" w:line="360" w:lineRule="auto"/>
        <w:jc w:val="both"/>
        <w:rPr>
          <w:rFonts w:ascii="Arial" w:eastAsia="Arial" w:hAnsi="Arial" w:cs="Arial"/>
          <w:lang w:val="es-ES"/>
        </w:rPr>
      </w:pPr>
      <w:r>
        <w:rPr>
          <w:rFonts w:ascii="Arial" w:eastAsia="Arial" w:hAnsi="Arial" w:cs="Arial"/>
          <w:lang w:val="es-ES"/>
        </w:rPr>
        <w:t>En este apartado la administración pretende</w:t>
      </w:r>
      <w:r w:rsidR="003868E9">
        <w:rPr>
          <w:rFonts w:ascii="Arial" w:eastAsia="Arial" w:hAnsi="Arial" w:cs="Arial"/>
          <w:lang w:val="es-ES"/>
        </w:rPr>
        <w:t xml:space="preserve"> referirse a las plazas </w:t>
      </w:r>
      <w:r w:rsidR="003868E9" w:rsidRPr="004E3DF2">
        <w:rPr>
          <w:rFonts w:ascii="Arial" w:eastAsia="Arial" w:hAnsi="Arial" w:cs="Arial"/>
          <w:b/>
          <w:lang w:val="es-ES"/>
        </w:rPr>
        <w:t>NO afectadas por la consolidación</w:t>
      </w:r>
      <w:r w:rsidR="003868E9">
        <w:rPr>
          <w:rFonts w:ascii="Arial" w:eastAsia="Arial" w:hAnsi="Arial" w:cs="Arial"/>
          <w:lang w:val="es-ES"/>
        </w:rPr>
        <w:t xml:space="preserve"> de la Disposición Transitoria Décima del Convenio Colectivo, pero visto el documento, nada más lejos de realidad:</w:t>
      </w:r>
    </w:p>
    <w:p w:rsidR="00931D56" w:rsidRDefault="00931D56" w:rsidP="003868E9">
      <w:pPr>
        <w:spacing w:after="240" w:line="360" w:lineRule="auto"/>
        <w:jc w:val="both"/>
        <w:rPr>
          <w:rFonts w:ascii="Arial" w:eastAsia="Arial" w:hAnsi="Arial" w:cs="Arial"/>
          <w:lang w:val="es-ES"/>
        </w:rPr>
      </w:pPr>
      <w:r>
        <w:rPr>
          <w:rFonts w:ascii="Arial" w:eastAsia="Arial" w:hAnsi="Arial" w:cs="Arial"/>
          <w:lang w:val="es-ES"/>
        </w:rPr>
        <w:lastRenderedPageBreak/>
        <w:t xml:space="preserve">La realidad es que, con </w:t>
      </w:r>
      <w:r w:rsidRPr="004E3DF2">
        <w:rPr>
          <w:rFonts w:ascii="Arial" w:eastAsia="Arial" w:hAnsi="Arial" w:cs="Arial"/>
          <w:b/>
          <w:lang w:val="es-ES"/>
        </w:rPr>
        <w:t>absoluto desprecio por la legalidad vigente</w:t>
      </w:r>
      <w:r>
        <w:rPr>
          <w:rFonts w:ascii="Arial" w:eastAsia="Arial" w:hAnsi="Arial" w:cs="Arial"/>
          <w:lang w:val="es-ES"/>
        </w:rPr>
        <w:t xml:space="preserve">, por las </w:t>
      </w:r>
      <w:r w:rsidRPr="004E3DF2">
        <w:rPr>
          <w:rFonts w:ascii="Arial" w:eastAsia="Arial" w:hAnsi="Arial" w:cs="Arial"/>
          <w:b/>
          <w:lang w:val="es-ES"/>
        </w:rPr>
        <w:t>sentencias judicales</w:t>
      </w:r>
      <w:r>
        <w:rPr>
          <w:rFonts w:ascii="Arial" w:eastAsia="Arial" w:hAnsi="Arial" w:cs="Arial"/>
          <w:lang w:val="es-ES"/>
        </w:rPr>
        <w:t xml:space="preserve"> y con evidente </w:t>
      </w:r>
      <w:r w:rsidRPr="004E3DF2">
        <w:rPr>
          <w:rFonts w:ascii="Arial" w:eastAsia="Arial" w:hAnsi="Arial" w:cs="Arial"/>
          <w:b/>
          <w:lang w:val="es-ES"/>
        </w:rPr>
        <w:t>mala fe</w:t>
      </w:r>
      <w:r>
        <w:rPr>
          <w:rFonts w:ascii="Arial" w:eastAsia="Arial" w:hAnsi="Arial" w:cs="Arial"/>
          <w:lang w:val="es-ES"/>
        </w:rPr>
        <w:t xml:space="preserve">, la Xunta </w:t>
      </w:r>
      <w:r w:rsidRPr="004E3DF2">
        <w:rPr>
          <w:rFonts w:ascii="Arial" w:eastAsia="Arial" w:hAnsi="Arial" w:cs="Arial"/>
          <w:u w:val="single"/>
          <w:lang w:val="es-ES"/>
        </w:rPr>
        <w:t xml:space="preserve">incluye </w:t>
      </w:r>
      <w:r w:rsidR="004E3DF2">
        <w:rPr>
          <w:rFonts w:ascii="Arial" w:eastAsia="Arial" w:hAnsi="Arial" w:cs="Arial"/>
          <w:u w:val="single"/>
          <w:lang w:val="es-ES"/>
        </w:rPr>
        <w:t xml:space="preserve">de forma ilegal </w:t>
      </w:r>
      <w:r w:rsidRPr="004E3DF2">
        <w:rPr>
          <w:rFonts w:ascii="Arial" w:eastAsia="Arial" w:hAnsi="Arial" w:cs="Arial"/>
          <w:u w:val="single"/>
          <w:lang w:val="es-ES"/>
        </w:rPr>
        <w:t>en este listado plazas afectadas por la Consolidación regulada por la Disposición Transitoria Décima del Convenio Colectivo de la Xunta de Galicia</w:t>
      </w:r>
      <w:r>
        <w:rPr>
          <w:rFonts w:ascii="Arial" w:eastAsia="Arial" w:hAnsi="Arial" w:cs="Arial"/>
          <w:lang w:val="es-ES"/>
        </w:rPr>
        <w:t xml:space="preserve">. </w:t>
      </w:r>
    </w:p>
    <w:p w:rsidR="00D920E0" w:rsidRDefault="00D920E0" w:rsidP="003868E9">
      <w:pPr>
        <w:spacing w:after="240" w:line="360" w:lineRule="auto"/>
        <w:jc w:val="both"/>
        <w:rPr>
          <w:rFonts w:ascii="Arial" w:eastAsia="Arial" w:hAnsi="Arial" w:cs="Arial"/>
          <w:lang w:val="es-ES"/>
        </w:rPr>
      </w:pPr>
    </w:p>
    <w:p w:rsidR="003868E9" w:rsidRDefault="00931D56" w:rsidP="003868E9">
      <w:pPr>
        <w:spacing w:after="240" w:line="360" w:lineRule="auto"/>
        <w:jc w:val="both"/>
        <w:rPr>
          <w:rFonts w:ascii="Arial" w:eastAsia="Arial" w:hAnsi="Arial" w:cs="Arial"/>
          <w:lang w:val="es-ES"/>
        </w:rPr>
      </w:pPr>
      <w:r>
        <w:rPr>
          <w:rFonts w:ascii="Arial" w:eastAsia="Arial" w:hAnsi="Arial" w:cs="Arial"/>
          <w:lang w:val="es-ES"/>
        </w:rPr>
        <w:t xml:space="preserve">De hecho incluyen plazas, que </w:t>
      </w:r>
      <w:r w:rsidRPr="004E3DF2">
        <w:rPr>
          <w:rFonts w:ascii="Arial" w:eastAsia="Arial" w:hAnsi="Arial" w:cs="Arial"/>
          <w:b/>
          <w:lang w:val="es-ES"/>
        </w:rPr>
        <w:t>bajo el criterio de antigüedad</w:t>
      </w:r>
      <w:r>
        <w:rPr>
          <w:rFonts w:ascii="Arial" w:eastAsia="Arial" w:hAnsi="Arial" w:cs="Arial"/>
          <w:lang w:val="es-ES"/>
        </w:rPr>
        <w:t xml:space="preserve"> (único válido para CSIF), </w:t>
      </w:r>
      <w:r w:rsidRPr="004E3DF2">
        <w:rPr>
          <w:rFonts w:ascii="Arial" w:eastAsia="Arial" w:hAnsi="Arial" w:cs="Arial"/>
          <w:b/>
          <w:lang w:val="es-ES"/>
        </w:rPr>
        <w:t>deben estar en el ámito de la segunda parte de la consolidación</w:t>
      </w:r>
      <w:r w:rsidR="004E3DF2">
        <w:rPr>
          <w:rFonts w:ascii="Arial" w:eastAsia="Arial" w:hAnsi="Arial" w:cs="Arial"/>
          <w:lang w:val="es-ES"/>
        </w:rPr>
        <w:t xml:space="preserve"> (</w:t>
      </w:r>
      <w:r w:rsidR="004E3DF2" w:rsidRPr="004E3DF2">
        <w:rPr>
          <w:rFonts w:ascii="Arial" w:eastAsia="Arial" w:hAnsi="Arial" w:cs="Arial"/>
          <w:u w:val="single"/>
          <w:lang w:val="es-ES"/>
        </w:rPr>
        <w:t>algunas en la primera</w:t>
      </w:r>
      <w:r w:rsidR="004E3DF2">
        <w:rPr>
          <w:rFonts w:ascii="Arial" w:eastAsia="Arial" w:hAnsi="Arial" w:cs="Arial"/>
          <w:lang w:val="es-ES"/>
        </w:rPr>
        <w:t>)</w:t>
      </w:r>
      <w:r>
        <w:rPr>
          <w:rFonts w:ascii="Arial" w:eastAsia="Arial" w:hAnsi="Arial" w:cs="Arial"/>
          <w:lang w:val="es-ES"/>
        </w:rPr>
        <w:t xml:space="preserve">; una parte de ellas con </w:t>
      </w:r>
      <w:r w:rsidRPr="004E3DF2">
        <w:rPr>
          <w:rFonts w:ascii="Arial" w:eastAsia="Arial" w:hAnsi="Arial" w:cs="Arial"/>
          <w:u w:val="single"/>
          <w:lang w:val="es-ES"/>
        </w:rPr>
        <w:t>resoluciones judicales firmes</w:t>
      </w:r>
      <w:r>
        <w:rPr>
          <w:rFonts w:ascii="Arial" w:eastAsia="Arial" w:hAnsi="Arial" w:cs="Arial"/>
          <w:lang w:val="es-ES"/>
        </w:rPr>
        <w:t xml:space="preserve"> que reconcen el derecho a ser cubiertas mediante el proceso de consolidación establecido en la disposición transitoria décima del V Convenio, otra parte con </w:t>
      </w:r>
      <w:r w:rsidRPr="004E3DF2">
        <w:rPr>
          <w:rFonts w:ascii="Arial" w:eastAsia="Arial" w:hAnsi="Arial" w:cs="Arial"/>
          <w:u w:val="single"/>
          <w:lang w:val="es-ES"/>
        </w:rPr>
        <w:t>demandas ya interpuestas y a la espera de juicio o sentencia</w:t>
      </w:r>
      <w:r>
        <w:rPr>
          <w:rFonts w:ascii="Arial" w:eastAsia="Arial" w:hAnsi="Arial" w:cs="Arial"/>
          <w:lang w:val="es-ES"/>
        </w:rPr>
        <w:t>, y otra parte que, sin</w:t>
      </w:r>
      <w:r w:rsidR="004E3DF2">
        <w:rPr>
          <w:rFonts w:ascii="Arial" w:eastAsia="Arial" w:hAnsi="Arial" w:cs="Arial"/>
          <w:lang w:val="es-ES"/>
        </w:rPr>
        <w:t xml:space="preserve"> haber aun presen</w:t>
      </w:r>
      <w:r>
        <w:rPr>
          <w:rFonts w:ascii="Arial" w:eastAsia="Arial" w:hAnsi="Arial" w:cs="Arial"/>
          <w:lang w:val="es-ES"/>
        </w:rPr>
        <w:t xml:space="preserve">tado demanda judicial, sí </w:t>
      </w:r>
      <w:r w:rsidRPr="004E3DF2">
        <w:rPr>
          <w:rFonts w:ascii="Arial" w:eastAsia="Arial" w:hAnsi="Arial" w:cs="Arial"/>
          <w:u w:val="single"/>
          <w:lang w:val="es-ES"/>
        </w:rPr>
        <w:t>cumplen con el requisito de antigüedad requerido</w:t>
      </w:r>
      <w:r>
        <w:rPr>
          <w:rFonts w:ascii="Arial" w:eastAsia="Arial" w:hAnsi="Arial" w:cs="Arial"/>
          <w:lang w:val="es-ES"/>
        </w:rPr>
        <w:t xml:space="preserve"> para ser reconcocidas como plazas de consolidación de la DTª 10.</w:t>
      </w:r>
      <w:r w:rsidR="003868E9">
        <w:rPr>
          <w:rFonts w:ascii="Arial" w:eastAsia="Arial" w:hAnsi="Arial" w:cs="Arial"/>
          <w:lang w:val="es-ES"/>
        </w:rPr>
        <w:t xml:space="preserve">. </w:t>
      </w:r>
    </w:p>
    <w:p w:rsidR="003868E9" w:rsidRDefault="00931D56" w:rsidP="003868E9">
      <w:pPr>
        <w:spacing w:after="240" w:line="360" w:lineRule="auto"/>
        <w:jc w:val="both"/>
        <w:rPr>
          <w:rFonts w:ascii="Arial" w:eastAsia="Arial" w:hAnsi="Arial" w:cs="Arial"/>
          <w:lang w:val="es-ES"/>
        </w:rPr>
      </w:pPr>
      <w:r>
        <w:rPr>
          <w:rFonts w:ascii="Arial" w:eastAsia="Arial" w:hAnsi="Arial" w:cs="Arial"/>
          <w:lang w:val="es-ES"/>
        </w:rPr>
        <w:t>Incluso parte de estras plazas</w:t>
      </w:r>
      <w:r w:rsidR="003868E9">
        <w:rPr>
          <w:rFonts w:ascii="Arial" w:eastAsia="Arial" w:hAnsi="Arial" w:cs="Arial"/>
          <w:lang w:val="es-ES"/>
        </w:rPr>
        <w:t xml:space="preserve">, </w:t>
      </w:r>
      <w:r>
        <w:rPr>
          <w:rFonts w:ascii="Arial" w:eastAsia="Arial" w:hAnsi="Arial" w:cs="Arial"/>
          <w:lang w:val="es-ES"/>
        </w:rPr>
        <w:t>y dada la antigüedad de sus ocupantes, deben incluirse</w:t>
      </w:r>
      <w:r w:rsidR="003868E9">
        <w:rPr>
          <w:rFonts w:ascii="Arial" w:eastAsia="Arial" w:hAnsi="Arial" w:cs="Arial"/>
          <w:lang w:val="es-ES"/>
        </w:rPr>
        <w:t xml:space="preserve">, por resolución judicial firme, en la </w:t>
      </w:r>
      <w:r w:rsidR="003868E9" w:rsidRPr="004E3DF2">
        <w:rPr>
          <w:rFonts w:ascii="Arial" w:eastAsia="Arial" w:hAnsi="Arial" w:cs="Arial"/>
          <w:b/>
          <w:lang w:val="es-ES"/>
        </w:rPr>
        <w:t>primera parte de la consolidación</w:t>
      </w:r>
      <w:r w:rsidR="003868E9">
        <w:rPr>
          <w:rFonts w:ascii="Arial" w:eastAsia="Arial" w:hAnsi="Arial" w:cs="Arial"/>
          <w:lang w:val="es-ES"/>
        </w:rPr>
        <w:t xml:space="preserve">, es decir, el proceso debe realizarse mediante concurso. </w:t>
      </w:r>
    </w:p>
    <w:p w:rsidR="003868E9" w:rsidRPr="008B07C8" w:rsidRDefault="003868E9" w:rsidP="003868E9">
      <w:pPr>
        <w:spacing w:after="240" w:line="360" w:lineRule="auto"/>
        <w:jc w:val="both"/>
        <w:rPr>
          <w:rFonts w:ascii="Arial" w:eastAsia="Arial" w:hAnsi="Arial" w:cs="Arial"/>
          <w:lang w:val="es-ES"/>
        </w:rPr>
      </w:pPr>
      <w:r>
        <w:rPr>
          <w:rFonts w:ascii="Arial" w:eastAsia="Arial" w:hAnsi="Arial" w:cs="Arial"/>
          <w:lang w:val="es-ES"/>
        </w:rPr>
        <w:t>La realidad es que d</w:t>
      </w:r>
      <w:r w:rsidRPr="008B07C8">
        <w:rPr>
          <w:rFonts w:ascii="Arial" w:eastAsia="Arial" w:hAnsi="Arial" w:cs="Arial"/>
          <w:lang w:val="es-ES"/>
        </w:rPr>
        <w:t xml:space="preserve">iez años después de la aprobación de la disposición transitoria </w:t>
      </w:r>
      <w:r>
        <w:rPr>
          <w:rFonts w:ascii="Arial" w:eastAsia="Arial" w:hAnsi="Arial" w:cs="Arial"/>
          <w:lang w:val="es-ES"/>
        </w:rPr>
        <w:t>novena bis del</w:t>
      </w:r>
      <w:r w:rsidRPr="008B07C8">
        <w:rPr>
          <w:rFonts w:ascii="Arial" w:eastAsia="Arial" w:hAnsi="Arial" w:cs="Arial"/>
          <w:lang w:val="es-ES"/>
        </w:rPr>
        <w:t xml:space="preserve"> IV Convenio Colectivo (actual décima), que </w:t>
      </w:r>
      <w:r w:rsidRPr="003868E9">
        <w:rPr>
          <w:rFonts w:ascii="Arial" w:eastAsia="Arial" w:hAnsi="Arial" w:cs="Arial"/>
          <w:b/>
          <w:lang w:val="es-ES"/>
        </w:rPr>
        <w:t>CSIF rechazó por discriminar a una gran parte del colectivo de indefinidos non fijos</w:t>
      </w:r>
      <w:r w:rsidRPr="008B07C8">
        <w:rPr>
          <w:rFonts w:ascii="Arial" w:eastAsia="Arial" w:hAnsi="Arial" w:cs="Arial"/>
          <w:lang w:val="es-ES"/>
        </w:rPr>
        <w:t xml:space="preserve">, es aun más nítida la obligación de ampliar el número de plazas afectadas por la consolidación de la Transitoria Décima. Cabe recordar que </w:t>
      </w:r>
      <w:r w:rsidRPr="00963963">
        <w:rPr>
          <w:rFonts w:ascii="Arial" w:eastAsia="Arial" w:hAnsi="Arial" w:cs="Arial"/>
          <w:b/>
          <w:lang w:val="es-ES"/>
        </w:rPr>
        <w:t>CCOO, UGT y CIG pactaron con la Administración, para intentar impedir la ampliación del número de trabajadores afectados</w:t>
      </w:r>
      <w:r>
        <w:rPr>
          <w:rFonts w:ascii="Arial" w:eastAsia="Arial" w:hAnsi="Arial" w:cs="Arial"/>
          <w:lang w:val="es-ES"/>
        </w:rPr>
        <w:t xml:space="preserve"> por el derecho de consolidación</w:t>
      </w:r>
      <w:r w:rsidRPr="008B07C8">
        <w:rPr>
          <w:rFonts w:ascii="Arial" w:eastAsia="Arial" w:hAnsi="Arial" w:cs="Arial"/>
          <w:lang w:val="es-ES"/>
        </w:rPr>
        <w:t>, un requisito no publicado en ninguna norma; para que una plaza fuera considerada de consolidación era necesario que, además de la pertinente antigüedad, la fecha de sentencia de primera instancia fuera anterior a septiembre de 2007.</w:t>
      </w:r>
    </w:p>
    <w:p w:rsidR="003868E9" w:rsidRPr="008B07C8" w:rsidRDefault="003868E9" w:rsidP="003868E9">
      <w:pPr>
        <w:spacing w:after="240" w:line="360" w:lineRule="auto"/>
        <w:jc w:val="both"/>
        <w:rPr>
          <w:rFonts w:ascii="Arial" w:eastAsia="Arial" w:hAnsi="Arial" w:cs="Arial"/>
          <w:lang w:val="es-ES"/>
        </w:rPr>
      </w:pPr>
      <w:r w:rsidRPr="008B07C8">
        <w:rPr>
          <w:rFonts w:ascii="Arial" w:eastAsia="Arial" w:hAnsi="Arial" w:cs="Arial"/>
          <w:lang w:val="es-ES"/>
        </w:rPr>
        <w:t xml:space="preserve">Como todos os afectados conocen, </w:t>
      </w:r>
      <w:r w:rsidRPr="004E3DF2">
        <w:rPr>
          <w:rFonts w:ascii="Arial" w:eastAsia="Arial" w:hAnsi="Arial" w:cs="Arial"/>
          <w:b/>
          <w:lang w:val="es-ES"/>
        </w:rPr>
        <w:t>CSIF no reconoció nunca o valor jurídico de dicha fecha de corte</w:t>
      </w:r>
      <w:r w:rsidRPr="008B07C8">
        <w:rPr>
          <w:rFonts w:ascii="Arial" w:eastAsia="Arial" w:hAnsi="Arial" w:cs="Arial"/>
          <w:lang w:val="es-ES"/>
        </w:rPr>
        <w:t xml:space="preserve">, y mantuvimos a lo largo de todos estos años que </w:t>
      </w:r>
      <w:r w:rsidRPr="004E3DF2">
        <w:rPr>
          <w:rFonts w:ascii="Arial" w:eastAsia="Arial" w:hAnsi="Arial" w:cs="Arial"/>
          <w:b/>
          <w:lang w:val="es-ES"/>
        </w:rPr>
        <w:t xml:space="preserve">debían estar en el </w:t>
      </w:r>
      <w:r w:rsidRPr="004E3DF2">
        <w:rPr>
          <w:rFonts w:ascii="Arial" w:eastAsia="Arial" w:hAnsi="Arial" w:cs="Arial"/>
          <w:b/>
          <w:lang w:val="es-ES"/>
        </w:rPr>
        <w:lastRenderedPageBreak/>
        <w:t>ámbito de aplicación de la “transitoria décima” todas aquellas plazas que cumplan el requisito de antigüedad.</w:t>
      </w:r>
    </w:p>
    <w:p w:rsidR="003868E9" w:rsidRPr="008B07C8" w:rsidRDefault="003868E9" w:rsidP="003868E9">
      <w:pPr>
        <w:spacing w:after="240" w:line="360" w:lineRule="auto"/>
        <w:jc w:val="both"/>
        <w:rPr>
          <w:rFonts w:ascii="Arial" w:eastAsia="Arial" w:hAnsi="Arial" w:cs="Arial"/>
          <w:lang w:val="es-ES"/>
        </w:rPr>
      </w:pPr>
      <w:r w:rsidRPr="008B07C8">
        <w:rPr>
          <w:rFonts w:ascii="Arial" w:eastAsia="Arial" w:hAnsi="Arial" w:cs="Arial"/>
          <w:lang w:val="es-ES"/>
        </w:rPr>
        <w:t xml:space="preserve">De este forma, en las negociaciones de las diferentes RPTs lo largo de estos años, siempre advertimos </w:t>
      </w:r>
      <w:r>
        <w:rPr>
          <w:rFonts w:ascii="Arial" w:eastAsia="Arial" w:hAnsi="Arial" w:cs="Arial"/>
          <w:lang w:val="es-ES"/>
        </w:rPr>
        <w:t>de q</w:t>
      </w:r>
      <w:r w:rsidRPr="008B07C8">
        <w:rPr>
          <w:rFonts w:ascii="Arial" w:eastAsia="Arial" w:hAnsi="Arial" w:cs="Arial"/>
          <w:lang w:val="es-ES"/>
        </w:rPr>
        <w:t>ue la antigüedad, en la creación de nuevas plazas por sentencias de indefinición, es condicionante indispensable e imprescindible para identificar aquellas plazas que cumplen los requisitos y, en consecuencia, tienen los derechos reconocidos legal e convencionalmente en el EBEP, en la DTª10 del V Convenio Colectivo do Personal Laboral da Xunta de Galicia así como no artigo 7 da ley 1/2012.</w:t>
      </w:r>
    </w:p>
    <w:p w:rsidR="003868E9" w:rsidRPr="008B07C8" w:rsidRDefault="003868E9" w:rsidP="003868E9">
      <w:pPr>
        <w:spacing w:after="240" w:line="360" w:lineRule="auto"/>
        <w:jc w:val="both"/>
        <w:rPr>
          <w:rFonts w:ascii="Arial" w:eastAsia="Arial" w:hAnsi="Arial" w:cs="Arial"/>
          <w:lang w:val="es-ES"/>
        </w:rPr>
      </w:pPr>
      <w:r w:rsidRPr="008B07C8">
        <w:rPr>
          <w:rFonts w:ascii="Arial" w:eastAsia="Arial" w:hAnsi="Arial" w:cs="Arial"/>
          <w:lang w:val="es-ES"/>
        </w:rPr>
        <w:t xml:space="preserve">El posicionamiento de </w:t>
      </w:r>
      <w:r w:rsidRPr="00963963">
        <w:rPr>
          <w:rFonts w:ascii="Arial" w:eastAsia="Arial" w:hAnsi="Arial" w:cs="Arial"/>
          <w:b/>
          <w:lang w:val="es-ES"/>
        </w:rPr>
        <w:t>CSIF</w:t>
      </w:r>
      <w:r w:rsidRPr="008B07C8">
        <w:rPr>
          <w:rFonts w:ascii="Arial" w:eastAsia="Arial" w:hAnsi="Arial" w:cs="Arial"/>
          <w:lang w:val="es-ES"/>
        </w:rPr>
        <w:t xml:space="preserve"> siempre sustentó su justificación y razonamiento jurídico en que las fechas de sentencia no son un criterio o condicionante para </w:t>
      </w:r>
      <w:r w:rsidR="00963963">
        <w:rPr>
          <w:rFonts w:ascii="Arial" w:eastAsia="Arial" w:hAnsi="Arial" w:cs="Arial"/>
          <w:lang w:val="es-ES"/>
        </w:rPr>
        <w:t>l</w:t>
      </w:r>
      <w:r w:rsidRPr="008B07C8">
        <w:rPr>
          <w:rFonts w:ascii="Arial" w:eastAsia="Arial" w:hAnsi="Arial" w:cs="Arial"/>
          <w:lang w:val="es-ES"/>
        </w:rPr>
        <w:t xml:space="preserve">a reserva, o no reserva, de estas plazas para los referidos procesos extraordinarios, y alertamos de que </w:t>
      </w:r>
      <w:r w:rsidRPr="004E3DF2">
        <w:rPr>
          <w:rFonts w:ascii="Arial" w:eastAsia="Arial" w:hAnsi="Arial" w:cs="Arial"/>
          <w:b/>
          <w:lang w:val="es-ES"/>
        </w:rPr>
        <w:t>la supeditación de tal inclusión a la fecha de sentencia de 17-09-2007 no obedece a ningún criterio legal válido</w:t>
      </w:r>
      <w:r w:rsidRPr="008B07C8">
        <w:rPr>
          <w:rFonts w:ascii="Arial" w:eastAsia="Arial" w:hAnsi="Arial" w:cs="Arial"/>
          <w:lang w:val="es-ES"/>
        </w:rPr>
        <w:t xml:space="preserve"> en tanto en cuanto non está publicada en ninguna norma de rango legal o convencional.</w:t>
      </w:r>
    </w:p>
    <w:p w:rsidR="003868E9" w:rsidRDefault="003868E9" w:rsidP="003868E9">
      <w:pPr>
        <w:spacing w:after="240" w:line="360" w:lineRule="auto"/>
        <w:jc w:val="both"/>
        <w:rPr>
          <w:rFonts w:ascii="Arial" w:eastAsia="Arial" w:hAnsi="Arial" w:cs="Arial"/>
          <w:lang w:val="es-ES"/>
        </w:rPr>
      </w:pPr>
      <w:r w:rsidRPr="008B07C8">
        <w:rPr>
          <w:rFonts w:ascii="Arial" w:eastAsia="Arial" w:hAnsi="Arial" w:cs="Arial"/>
          <w:lang w:val="es-ES"/>
        </w:rPr>
        <w:t xml:space="preserve">Con todo ello, desde  </w:t>
      </w:r>
      <w:r w:rsidRPr="00963963">
        <w:rPr>
          <w:rFonts w:ascii="Arial" w:eastAsia="Arial" w:hAnsi="Arial" w:cs="Arial"/>
          <w:b/>
          <w:lang w:val="es-ES"/>
        </w:rPr>
        <w:t>CSIF</w:t>
      </w:r>
      <w:r w:rsidRPr="008B07C8">
        <w:rPr>
          <w:rFonts w:ascii="Arial" w:eastAsia="Arial" w:hAnsi="Arial" w:cs="Arial"/>
          <w:lang w:val="es-ES"/>
        </w:rPr>
        <w:t xml:space="preserve"> </w:t>
      </w:r>
      <w:r w:rsidRPr="00963963">
        <w:rPr>
          <w:rFonts w:ascii="Arial" w:eastAsia="Arial" w:hAnsi="Arial" w:cs="Arial"/>
          <w:b/>
          <w:lang w:val="es-ES"/>
        </w:rPr>
        <w:t>pretendíamos que la creación de las plazas y reconocimiento de derechos se llevara a cabo desde el más estricto respeto por la legalidad, a fin de evitar múltiples recursos judiciales.</w:t>
      </w:r>
      <w:r w:rsidRPr="008B07C8">
        <w:rPr>
          <w:rFonts w:ascii="Arial" w:eastAsia="Arial" w:hAnsi="Arial" w:cs="Arial"/>
          <w:lang w:val="es-ES"/>
        </w:rPr>
        <w:t xml:space="preserve"> Lamentablemente nuestras advertencias no fueron atendidas y actualmente son numerosas las SENTENCIAS FIRMES que reconocen el derecho a formar parte de la consolidación establecida en la “transitoria décima” a trabajadores indefinidos con fecha de sentencia posterior a septiembre de 2007.</w:t>
      </w:r>
    </w:p>
    <w:p w:rsidR="003868E9" w:rsidRPr="00963963" w:rsidRDefault="003868E9" w:rsidP="003868E9">
      <w:pPr>
        <w:spacing w:after="240" w:line="360" w:lineRule="auto"/>
        <w:jc w:val="both"/>
        <w:rPr>
          <w:rFonts w:ascii="Arial" w:eastAsia="Arial" w:hAnsi="Arial" w:cs="Arial"/>
          <w:b/>
          <w:u w:val="single"/>
          <w:lang w:val="es-ES"/>
        </w:rPr>
      </w:pPr>
      <w:r>
        <w:rPr>
          <w:rFonts w:ascii="Arial" w:eastAsia="Arial" w:hAnsi="Arial" w:cs="Arial"/>
          <w:lang w:val="es-ES"/>
        </w:rPr>
        <w:t>Ahora nos encontramos con un proyecto de OPE que proyecta, de forma ilegal, incumplir resoluciones judiciales firmes</w:t>
      </w:r>
      <w:r w:rsidR="00963963">
        <w:rPr>
          <w:rFonts w:ascii="Arial" w:eastAsia="Arial" w:hAnsi="Arial" w:cs="Arial"/>
          <w:lang w:val="es-ES"/>
        </w:rPr>
        <w:t xml:space="preserve"> y la normativa vigente</w:t>
      </w:r>
      <w:r>
        <w:rPr>
          <w:rFonts w:ascii="Arial" w:eastAsia="Arial" w:hAnsi="Arial" w:cs="Arial"/>
          <w:lang w:val="es-ES"/>
        </w:rPr>
        <w:t xml:space="preserve">, lo cual no podemos amparar y </w:t>
      </w:r>
      <w:r w:rsidRPr="00963963">
        <w:rPr>
          <w:rFonts w:ascii="Arial" w:eastAsia="Arial" w:hAnsi="Arial" w:cs="Arial"/>
          <w:b/>
          <w:u w:val="single"/>
          <w:lang w:val="es-ES"/>
        </w:rPr>
        <w:t>exigimos la retirada de dichas plazas de la OPE.</w:t>
      </w:r>
    </w:p>
    <w:p w:rsidR="003868E9" w:rsidRDefault="003868E9" w:rsidP="003868E9">
      <w:pPr>
        <w:spacing w:after="240" w:line="360" w:lineRule="auto"/>
        <w:jc w:val="both"/>
        <w:rPr>
          <w:rFonts w:ascii="Arial" w:eastAsia="Arial" w:hAnsi="Arial" w:cs="Arial"/>
          <w:lang w:val="es-ES"/>
        </w:rPr>
      </w:pPr>
      <w:r>
        <w:rPr>
          <w:rFonts w:ascii="Arial" w:eastAsia="Arial" w:hAnsi="Arial" w:cs="Arial"/>
          <w:lang w:val="es-ES"/>
        </w:rPr>
        <w:t xml:space="preserve">Como </w:t>
      </w:r>
      <w:r w:rsidRPr="00963963">
        <w:rPr>
          <w:rFonts w:ascii="Arial" w:eastAsia="Arial" w:hAnsi="Arial" w:cs="Arial"/>
          <w:b/>
          <w:u w:val="single"/>
          <w:lang w:val="es-ES"/>
        </w:rPr>
        <w:t>tampoco podemos amparar la oferta, en la OPE 2017, de las plazas de la segunda parte de la consolidación</w:t>
      </w:r>
      <w:r>
        <w:rPr>
          <w:rFonts w:ascii="Arial" w:eastAsia="Arial" w:hAnsi="Arial" w:cs="Arial"/>
          <w:lang w:val="es-ES"/>
        </w:rPr>
        <w:t xml:space="preserve">. Dadas las graves irregularidades y errores detectados, seguimos </w:t>
      </w:r>
      <w:r w:rsidRPr="00963963">
        <w:rPr>
          <w:rFonts w:ascii="Arial" w:eastAsia="Arial" w:hAnsi="Arial" w:cs="Arial"/>
          <w:b/>
          <w:lang w:val="es-ES"/>
        </w:rPr>
        <w:t>exigiendo la retirada de dichas plazas de la oferta de 2017</w:t>
      </w:r>
      <w:r>
        <w:rPr>
          <w:rFonts w:ascii="Arial" w:eastAsia="Arial" w:hAnsi="Arial" w:cs="Arial"/>
          <w:lang w:val="es-ES"/>
        </w:rPr>
        <w:t>.</w:t>
      </w:r>
    </w:p>
    <w:p w:rsidR="003868E9" w:rsidRDefault="003868E9" w:rsidP="003868E9">
      <w:pPr>
        <w:spacing w:after="240" w:line="360" w:lineRule="auto"/>
        <w:jc w:val="both"/>
        <w:rPr>
          <w:rFonts w:ascii="Arial" w:eastAsia="Arial" w:hAnsi="Arial" w:cs="Arial"/>
          <w:lang w:val="es-ES"/>
        </w:rPr>
      </w:pPr>
      <w:r>
        <w:rPr>
          <w:rFonts w:ascii="Arial" w:eastAsia="Arial" w:hAnsi="Arial" w:cs="Arial"/>
          <w:lang w:val="es-ES"/>
        </w:rPr>
        <w:lastRenderedPageBreak/>
        <w:t xml:space="preserve">Y todo ello sin obviar que </w:t>
      </w:r>
      <w:r w:rsidR="00441F6F">
        <w:rPr>
          <w:rFonts w:ascii="Arial" w:eastAsia="Arial" w:hAnsi="Arial" w:cs="Arial"/>
          <w:lang w:val="es-ES"/>
        </w:rPr>
        <w:t xml:space="preserve">en esta meteria </w:t>
      </w:r>
      <w:r>
        <w:rPr>
          <w:rFonts w:ascii="Arial" w:eastAsia="Arial" w:hAnsi="Arial" w:cs="Arial"/>
          <w:lang w:val="es-ES"/>
        </w:rPr>
        <w:t>estamos a la espera de la sentencia del Tribunal Superior de Justicia de Galicia</w:t>
      </w:r>
      <w:r w:rsidR="00441F6F">
        <w:rPr>
          <w:rFonts w:ascii="Arial" w:eastAsia="Arial" w:hAnsi="Arial" w:cs="Arial"/>
          <w:lang w:val="es-ES"/>
        </w:rPr>
        <w:t>.</w:t>
      </w:r>
      <w:r>
        <w:rPr>
          <w:rFonts w:ascii="Arial" w:eastAsia="Arial" w:hAnsi="Arial" w:cs="Arial"/>
          <w:lang w:val="es-ES"/>
        </w:rPr>
        <w:t xml:space="preserve"> Conflicto Colectivo en el que defendemos, al igual que hicimos en el 2008, </w:t>
      </w:r>
      <w:r w:rsidR="00441F6F">
        <w:rPr>
          <w:rFonts w:ascii="Arial" w:eastAsia="Arial" w:hAnsi="Arial" w:cs="Arial"/>
          <w:lang w:val="es-ES"/>
        </w:rPr>
        <w:t>que se equiparen las condciones del personal de la primera y la segunda parte de la consolidación regulada por la Disposición Transitoria Décima.</w:t>
      </w:r>
    </w:p>
    <w:p w:rsidR="003868E9" w:rsidRDefault="003868E9" w:rsidP="003868E9">
      <w:pPr>
        <w:pStyle w:val="Ttulo1"/>
        <w:spacing w:before="0" w:after="240" w:line="360" w:lineRule="auto"/>
        <w:rPr>
          <w:rFonts w:ascii="Arial" w:eastAsia="Arial" w:hAnsi="Arial" w:cs="Arial"/>
          <w:sz w:val="24"/>
          <w:szCs w:val="24"/>
          <w:lang w:val="es-ES"/>
        </w:rPr>
      </w:pPr>
      <w:r w:rsidRPr="005D4C82">
        <w:rPr>
          <w:rFonts w:ascii="Arial" w:eastAsia="Arial" w:hAnsi="Arial" w:cs="Arial"/>
          <w:sz w:val="24"/>
          <w:szCs w:val="24"/>
          <w:lang w:val="es-ES"/>
        </w:rPr>
        <w:t>Anexo IV. Promoción Interna</w:t>
      </w:r>
    </w:p>
    <w:p w:rsidR="00D920E0" w:rsidRPr="00D920E0" w:rsidRDefault="00D920E0" w:rsidP="00D920E0">
      <w:pPr>
        <w:spacing w:after="240" w:line="360" w:lineRule="auto"/>
        <w:jc w:val="both"/>
        <w:rPr>
          <w:rFonts w:ascii="Arial" w:eastAsia="Arial" w:hAnsi="Arial" w:cs="Arial"/>
          <w:lang w:val="es-ES"/>
        </w:rPr>
      </w:pPr>
      <w:r w:rsidRPr="003F6577">
        <w:rPr>
          <w:rFonts w:ascii="Arial" w:eastAsia="Arial" w:hAnsi="Arial" w:cs="Arial"/>
          <w:b/>
          <w:lang w:val="es-ES"/>
        </w:rPr>
        <w:t>A)PROMOCIÓN INTERNA CON CONVOCATORIA INDEPEND</w:t>
      </w:r>
      <w:r w:rsidR="00DC4381" w:rsidRPr="003F6577">
        <w:rPr>
          <w:rFonts w:ascii="Arial" w:eastAsia="Arial" w:hAnsi="Arial" w:cs="Arial"/>
          <w:b/>
          <w:lang w:val="es-ES"/>
        </w:rPr>
        <w:t>I</w:t>
      </w:r>
      <w:r w:rsidRPr="003F6577">
        <w:rPr>
          <w:rFonts w:ascii="Arial" w:eastAsia="Arial" w:hAnsi="Arial" w:cs="Arial"/>
          <w:b/>
          <w:lang w:val="es-ES"/>
        </w:rPr>
        <w:t>ENTE</w:t>
      </w:r>
      <w:r w:rsidRPr="00D920E0">
        <w:rPr>
          <w:rFonts w:ascii="Arial" w:eastAsia="Arial" w:hAnsi="Arial" w:cs="Arial"/>
          <w:lang w:val="es-ES"/>
        </w:rPr>
        <w:t>.</w:t>
      </w:r>
    </w:p>
    <w:p w:rsidR="00DC4381" w:rsidRPr="003F6577" w:rsidRDefault="00DC4381" w:rsidP="00DC4381">
      <w:pPr>
        <w:spacing w:after="240" w:line="360" w:lineRule="auto"/>
        <w:jc w:val="both"/>
        <w:rPr>
          <w:rFonts w:ascii="Arial" w:eastAsia="Arial" w:hAnsi="Arial" w:cs="Arial"/>
          <w:b/>
          <w:lang w:val="es-ES"/>
        </w:rPr>
      </w:pPr>
      <w:r w:rsidRPr="003F6577">
        <w:rPr>
          <w:rFonts w:ascii="Arial" w:eastAsia="Arial" w:hAnsi="Arial" w:cs="Arial"/>
          <w:b/>
          <w:lang w:val="es-ES"/>
        </w:rPr>
        <w:t xml:space="preserve">i) </w:t>
      </w:r>
      <w:r w:rsidR="003F6577">
        <w:rPr>
          <w:rFonts w:ascii="Arial" w:eastAsia="Arial" w:hAnsi="Arial" w:cs="Arial"/>
          <w:b/>
          <w:lang w:val="es-ES"/>
        </w:rPr>
        <w:t xml:space="preserve">Incumplimento del compromiso </w:t>
      </w:r>
      <w:r w:rsidRPr="003F6577">
        <w:rPr>
          <w:rFonts w:ascii="Arial" w:eastAsia="Arial" w:hAnsi="Arial" w:cs="Arial"/>
          <w:b/>
          <w:lang w:val="es-ES"/>
        </w:rPr>
        <w:t>de Fomento de la promoción interna.</w:t>
      </w:r>
    </w:p>
    <w:p w:rsidR="00DC4381" w:rsidRPr="00DC4381" w:rsidRDefault="00DC4381" w:rsidP="00DC4381">
      <w:pPr>
        <w:spacing w:after="240" w:line="360" w:lineRule="auto"/>
        <w:jc w:val="both"/>
        <w:rPr>
          <w:rFonts w:ascii="Arial" w:eastAsia="Arial" w:hAnsi="Arial" w:cs="Arial"/>
          <w:lang w:val="es-ES"/>
        </w:rPr>
      </w:pPr>
      <w:r w:rsidRPr="00DC4381">
        <w:rPr>
          <w:rFonts w:ascii="Arial" w:eastAsia="Arial" w:hAnsi="Arial" w:cs="Arial"/>
          <w:lang w:val="es-ES"/>
        </w:rPr>
        <w:t>En el acuerdo firmado entre la Xunta de Galicia y las organizaciones sindicales CCOO, CSIF y UGT para el desarrollo de un plan de estabilidad en el empleo de los servicios públicos se establece taxativamente el fomento de la promoción interna.</w:t>
      </w:r>
    </w:p>
    <w:p w:rsidR="00DC4381" w:rsidRPr="00DC4381" w:rsidRDefault="00DC4381" w:rsidP="00DC4381">
      <w:pPr>
        <w:spacing w:after="240" w:line="360" w:lineRule="auto"/>
        <w:jc w:val="both"/>
        <w:rPr>
          <w:rFonts w:ascii="Arial" w:eastAsia="Arial" w:hAnsi="Arial" w:cs="Arial"/>
          <w:lang w:val="es-ES"/>
        </w:rPr>
      </w:pPr>
      <w:r w:rsidRPr="00DC4381">
        <w:rPr>
          <w:rFonts w:ascii="Arial" w:eastAsia="Arial" w:hAnsi="Arial" w:cs="Arial"/>
          <w:lang w:val="es-ES"/>
        </w:rPr>
        <w:t xml:space="preserve">No obstante, en el Anexo IV de la propuesta del Decreto de la Oferta Pública de Empleo para el año 2018, se repite exactamente el mismo número de plaza, tanto por subgrupos como por turno general </w:t>
      </w:r>
      <w:r>
        <w:rPr>
          <w:rFonts w:ascii="Arial" w:eastAsia="Arial" w:hAnsi="Arial" w:cs="Arial"/>
          <w:lang w:val="es-ES"/>
        </w:rPr>
        <w:t>como por</w:t>
      </w:r>
      <w:r w:rsidRPr="00DC4381">
        <w:rPr>
          <w:rFonts w:ascii="Arial" w:eastAsia="Arial" w:hAnsi="Arial" w:cs="Arial"/>
          <w:lang w:val="es-ES"/>
        </w:rPr>
        <w:t xml:space="preserve"> discapacidad que en la OPE del año 2017.</w:t>
      </w:r>
    </w:p>
    <w:p w:rsidR="00DC4381" w:rsidRPr="00DC4381" w:rsidRDefault="00DC4381" w:rsidP="00DC4381">
      <w:pPr>
        <w:spacing w:after="240" w:line="360" w:lineRule="auto"/>
        <w:jc w:val="both"/>
        <w:rPr>
          <w:rFonts w:ascii="Arial" w:eastAsia="Arial" w:hAnsi="Arial" w:cs="Arial"/>
          <w:lang w:val="es-ES"/>
        </w:rPr>
      </w:pPr>
      <w:r w:rsidRPr="00DC4381">
        <w:rPr>
          <w:rFonts w:ascii="Arial" w:eastAsia="Arial" w:hAnsi="Arial" w:cs="Arial"/>
          <w:lang w:val="es-ES"/>
        </w:rPr>
        <w:t xml:space="preserve">La promoción interna no computa dentro del limite máximo de la </w:t>
      </w:r>
      <w:r w:rsidR="009C6A0E">
        <w:rPr>
          <w:rFonts w:ascii="Arial" w:eastAsia="Arial" w:hAnsi="Arial" w:cs="Arial"/>
          <w:lang w:val="es-ES"/>
        </w:rPr>
        <w:t>tasa de reposición</w:t>
      </w:r>
      <w:r w:rsidRPr="00DC4381">
        <w:rPr>
          <w:rFonts w:ascii="Arial" w:eastAsia="Arial" w:hAnsi="Arial" w:cs="Arial"/>
          <w:lang w:val="es-ES"/>
        </w:rPr>
        <w:t xml:space="preserve"> de efectivos, por lo que nada impide que puedan ser convocadas por este sistema a totalidad de las plazas abiertas a varios subgrupos y que estén siendo ocupadas por funcionarios de un subgrupo inferior. Y </w:t>
      </w:r>
      <w:r w:rsidR="009C6A0E">
        <w:rPr>
          <w:rFonts w:ascii="Arial" w:eastAsia="Arial" w:hAnsi="Arial" w:cs="Arial"/>
          <w:lang w:val="es-ES"/>
        </w:rPr>
        <w:t>ello</w:t>
      </w:r>
      <w:r w:rsidRPr="00DC4381">
        <w:rPr>
          <w:rFonts w:ascii="Arial" w:eastAsia="Arial" w:hAnsi="Arial" w:cs="Arial"/>
          <w:lang w:val="es-ES"/>
        </w:rPr>
        <w:t xml:space="preserve"> porque dichas plazas tienen que estar dotadas </w:t>
      </w:r>
      <w:r>
        <w:rPr>
          <w:rFonts w:ascii="Arial" w:eastAsia="Arial" w:hAnsi="Arial" w:cs="Arial"/>
          <w:lang w:val="es-ES"/>
        </w:rPr>
        <w:t xml:space="preserve">presupuestariamente </w:t>
      </w:r>
      <w:r w:rsidRPr="00DC4381">
        <w:rPr>
          <w:rFonts w:ascii="Arial" w:eastAsia="Arial" w:hAnsi="Arial" w:cs="Arial"/>
          <w:lang w:val="es-ES"/>
        </w:rPr>
        <w:t>al subgrupo superior</w:t>
      </w:r>
      <w:r w:rsidR="009C6A0E">
        <w:rPr>
          <w:rFonts w:ascii="Arial" w:eastAsia="Arial" w:hAnsi="Arial" w:cs="Arial"/>
          <w:lang w:val="es-ES"/>
        </w:rPr>
        <w:t xml:space="preserve"> que las pueda ocupar</w:t>
      </w:r>
      <w:r w:rsidRPr="00DC4381">
        <w:rPr>
          <w:rFonts w:ascii="Arial" w:eastAsia="Arial" w:hAnsi="Arial" w:cs="Arial"/>
          <w:lang w:val="es-ES"/>
        </w:rPr>
        <w:t>.</w:t>
      </w:r>
    </w:p>
    <w:p w:rsidR="00DC4381" w:rsidRDefault="00DC4381" w:rsidP="00DC4381">
      <w:pPr>
        <w:spacing w:after="240" w:line="360" w:lineRule="auto"/>
        <w:jc w:val="both"/>
        <w:rPr>
          <w:rFonts w:ascii="Arial" w:eastAsia="Arial" w:hAnsi="Arial" w:cs="Arial"/>
          <w:lang w:val="es-ES"/>
        </w:rPr>
      </w:pPr>
      <w:r w:rsidRPr="00DC4381">
        <w:rPr>
          <w:rFonts w:ascii="Arial" w:eastAsia="Arial" w:hAnsi="Arial" w:cs="Arial"/>
          <w:lang w:val="es-ES"/>
        </w:rPr>
        <w:t xml:space="preserve">Esto ocurre, por ejemplo, con todas jefaturas de negociado (abiertas al subgrupos C2, C1 y </w:t>
      </w:r>
      <w:r>
        <w:rPr>
          <w:rFonts w:ascii="Arial" w:eastAsia="Arial" w:hAnsi="Arial" w:cs="Arial"/>
          <w:lang w:val="es-ES"/>
        </w:rPr>
        <w:t>A</w:t>
      </w:r>
      <w:r w:rsidRPr="00DC4381">
        <w:rPr>
          <w:rFonts w:ascii="Arial" w:eastAsia="Arial" w:hAnsi="Arial" w:cs="Arial"/>
          <w:lang w:val="es-ES"/>
        </w:rPr>
        <w:t xml:space="preserve">2), las jefaturas de sección (abiertas a los subgrupos C1, A2 y </w:t>
      </w:r>
      <w:r>
        <w:rPr>
          <w:rFonts w:ascii="Arial" w:eastAsia="Arial" w:hAnsi="Arial" w:cs="Arial"/>
          <w:lang w:val="es-ES"/>
        </w:rPr>
        <w:t>A1</w:t>
      </w:r>
      <w:r w:rsidRPr="00DC4381">
        <w:rPr>
          <w:rFonts w:ascii="Arial" w:eastAsia="Arial" w:hAnsi="Arial" w:cs="Arial"/>
          <w:lang w:val="es-ES"/>
        </w:rPr>
        <w:t>), etc.</w:t>
      </w:r>
      <w:r>
        <w:rPr>
          <w:rFonts w:ascii="Arial" w:eastAsia="Arial" w:hAnsi="Arial" w:cs="Arial"/>
          <w:lang w:val="es-ES"/>
        </w:rPr>
        <w:t xml:space="preserve"> </w:t>
      </w:r>
    </w:p>
    <w:p w:rsidR="00DC4381" w:rsidRPr="00DC4381" w:rsidRDefault="00DC4381" w:rsidP="00DC4381">
      <w:pPr>
        <w:spacing w:after="240" w:line="360" w:lineRule="auto"/>
        <w:jc w:val="both"/>
        <w:rPr>
          <w:rFonts w:ascii="Arial" w:eastAsia="Arial" w:hAnsi="Arial" w:cs="Arial"/>
          <w:lang w:val="es-ES"/>
        </w:rPr>
      </w:pPr>
      <w:r w:rsidRPr="00DC4381">
        <w:rPr>
          <w:rFonts w:ascii="Arial" w:eastAsia="Arial" w:hAnsi="Arial" w:cs="Arial"/>
          <w:lang w:val="es-ES"/>
        </w:rPr>
        <w:t xml:space="preserve">La oferta para la promoción interna que </w:t>
      </w:r>
      <w:r>
        <w:rPr>
          <w:rFonts w:ascii="Arial" w:eastAsia="Arial" w:hAnsi="Arial" w:cs="Arial"/>
          <w:lang w:val="es-ES"/>
        </w:rPr>
        <w:t>porpone</w:t>
      </w:r>
      <w:r w:rsidRPr="00DC4381">
        <w:rPr>
          <w:rFonts w:ascii="Arial" w:eastAsia="Arial" w:hAnsi="Arial" w:cs="Arial"/>
          <w:lang w:val="es-ES"/>
        </w:rPr>
        <w:t xml:space="preserve"> la Administración es totalmente insuficiente para el número de funcionarios que aspiran a mejorar su condición laboral.</w:t>
      </w:r>
    </w:p>
    <w:p w:rsidR="00DC4381" w:rsidRPr="00DC4381" w:rsidRDefault="00DC4381" w:rsidP="00DC4381">
      <w:pPr>
        <w:spacing w:after="240" w:line="360" w:lineRule="auto"/>
        <w:jc w:val="both"/>
        <w:rPr>
          <w:rFonts w:ascii="Arial" w:eastAsia="Arial" w:hAnsi="Arial" w:cs="Arial"/>
          <w:lang w:val="es-ES"/>
        </w:rPr>
      </w:pPr>
      <w:r w:rsidRPr="00DC4381">
        <w:rPr>
          <w:rFonts w:ascii="Arial" w:eastAsia="Arial" w:hAnsi="Arial" w:cs="Arial"/>
          <w:lang w:val="es-ES"/>
        </w:rPr>
        <w:t xml:space="preserve">Como decimos, nada impide que tales plazas ocupadas por funcionarios de un subgrupo inferior sean objeto de un proceso de promoción interna. Nada lo impide salvo una vocación </w:t>
      </w:r>
      <w:r w:rsidRPr="00DC4381">
        <w:rPr>
          <w:rFonts w:ascii="Arial" w:eastAsia="Arial" w:hAnsi="Arial" w:cs="Arial"/>
          <w:lang w:val="es-ES"/>
        </w:rPr>
        <w:lastRenderedPageBreak/>
        <w:t>arbitraria por parte de una Administración de no fomentar y limitar la promoción interna de sus funcionarios de carrera.</w:t>
      </w:r>
    </w:p>
    <w:p w:rsidR="00DC4381" w:rsidRPr="00DC4381" w:rsidRDefault="009C6A0E" w:rsidP="00DC4381">
      <w:pPr>
        <w:spacing w:after="240" w:line="360" w:lineRule="auto"/>
        <w:jc w:val="both"/>
        <w:rPr>
          <w:rFonts w:ascii="Arial" w:eastAsia="Arial" w:hAnsi="Arial" w:cs="Arial"/>
          <w:lang w:val="es-ES"/>
        </w:rPr>
      </w:pPr>
      <w:r>
        <w:rPr>
          <w:rFonts w:ascii="Arial" w:eastAsia="Arial" w:hAnsi="Arial" w:cs="Arial"/>
          <w:lang w:val="es-ES"/>
        </w:rPr>
        <w:t>Esto no ocurre en otras Administraciones. A</w:t>
      </w:r>
      <w:r w:rsidR="00DC4381" w:rsidRPr="00DC4381">
        <w:rPr>
          <w:rFonts w:ascii="Arial" w:eastAsia="Arial" w:hAnsi="Arial" w:cs="Arial"/>
          <w:lang w:val="es-ES"/>
        </w:rPr>
        <w:t>sí</w:t>
      </w:r>
      <w:r>
        <w:rPr>
          <w:rFonts w:ascii="Arial" w:eastAsia="Arial" w:hAnsi="Arial" w:cs="Arial"/>
          <w:lang w:val="es-ES"/>
        </w:rPr>
        <w:t>,</w:t>
      </w:r>
      <w:r w:rsidR="00DC4381">
        <w:rPr>
          <w:rFonts w:ascii="Arial" w:eastAsia="Arial" w:hAnsi="Arial" w:cs="Arial"/>
          <w:lang w:val="es-ES"/>
        </w:rPr>
        <w:t xml:space="preserve"> y a modo de ejemplo,</w:t>
      </w:r>
      <w:r w:rsidR="00DC4381" w:rsidRPr="00DC4381">
        <w:rPr>
          <w:rFonts w:ascii="Arial" w:eastAsia="Arial" w:hAnsi="Arial" w:cs="Arial"/>
          <w:lang w:val="es-ES"/>
        </w:rPr>
        <w:t xml:space="preserve"> </w:t>
      </w:r>
      <w:r w:rsidR="00DC4381" w:rsidRPr="00DC4381">
        <w:rPr>
          <w:rFonts w:ascii="Arial" w:eastAsia="Arial" w:hAnsi="Arial" w:cs="Arial"/>
          <w:b/>
          <w:lang w:val="es-ES"/>
        </w:rPr>
        <w:t>el Parlamento de Galicia</w:t>
      </w:r>
      <w:r w:rsidR="00DC4381" w:rsidRPr="00DC4381">
        <w:rPr>
          <w:rFonts w:ascii="Arial" w:eastAsia="Arial" w:hAnsi="Arial" w:cs="Arial"/>
          <w:lang w:val="es-ES"/>
        </w:rPr>
        <w:t xml:space="preserve"> está negociando</w:t>
      </w:r>
      <w:r w:rsidR="00DC4381">
        <w:rPr>
          <w:rFonts w:ascii="Arial" w:eastAsia="Arial" w:hAnsi="Arial" w:cs="Arial"/>
          <w:lang w:val="es-ES"/>
        </w:rPr>
        <w:t xml:space="preserve"> en estos momentos</w:t>
      </w:r>
      <w:r w:rsidR="00DC4381" w:rsidRPr="00DC4381">
        <w:rPr>
          <w:rFonts w:ascii="Arial" w:eastAsia="Arial" w:hAnsi="Arial" w:cs="Arial"/>
          <w:lang w:val="es-ES"/>
        </w:rPr>
        <w:t xml:space="preserve"> su Oferta de Empleo Público para el año 2018. Con respeto a la Promoción Interna </w:t>
      </w:r>
      <w:r w:rsidR="00DC4381">
        <w:rPr>
          <w:rFonts w:ascii="Arial" w:eastAsia="Arial" w:hAnsi="Arial" w:cs="Arial"/>
          <w:lang w:val="es-ES"/>
        </w:rPr>
        <w:t>se establece</w:t>
      </w:r>
      <w:r w:rsidR="00DC4381" w:rsidRPr="00DC4381">
        <w:rPr>
          <w:rFonts w:ascii="Arial" w:eastAsia="Arial" w:hAnsi="Arial" w:cs="Arial"/>
          <w:lang w:val="es-ES"/>
        </w:rPr>
        <w:t>:</w:t>
      </w:r>
    </w:p>
    <w:p w:rsidR="00DC4381" w:rsidRDefault="00DC4381" w:rsidP="00DC4381">
      <w:pPr>
        <w:spacing w:after="240" w:line="360" w:lineRule="auto"/>
        <w:jc w:val="both"/>
        <w:rPr>
          <w:rFonts w:ascii="Arial" w:eastAsia="Arial" w:hAnsi="Arial" w:cs="Arial"/>
          <w:i/>
          <w:lang w:val="es-ES"/>
        </w:rPr>
      </w:pPr>
      <w:r>
        <w:rPr>
          <w:rFonts w:ascii="Arial" w:eastAsia="Arial" w:hAnsi="Arial" w:cs="Arial"/>
          <w:lang w:val="es-ES"/>
        </w:rPr>
        <w:t>“</w:t>
      </w:r>
      <w:r w:rsidRPr="00DC4381">
        <w:rPr>
          <w:rFonts w:ascii="Arial" w:eastAsia="Arial" w:hAnsi="Arial" w:cs="Arial"/>
          <w:i/>
          <w:lang w:val="es-ES"/>
        </w:rPr>
        <w:t xml:space="preserve">En cada convocatoria se </w:t>
      </w:r>
      <w:r w:rsidRPr="00DC4381">
        <w:rPr>
          <w:rFonts w:ascii="Arial" w:eastAsia="Arial" w:hAnsi="Arial" w:cs="Arial"/>
          <w:b/>
          <w:i/>
          <w:lang w:val="es-ES"/>
        </w:rPr>
        <w:t>reservará la totalidad de plazas para su provisión, mediante promoción interna</w:t>
      </w:r>
      <w:r w:rsidRPr="00DC4381">
        <w:rPr>
          <w:rFonts w:ascii="Arial" w:eastAsia="Arial" w:hAnsi="Arial" w:cs="Arial"/>
          <w:i/>
          <w:lang w:val="es-ES"/>
        </w:rPr>
        <w:t>, por personal funcionario de carrera perteneciente al grupo inmediatamente inferior con titulación suficiente, siendo excluido de la realización de exámenes sobre materias cuyo conocimiento se acreditara con el ingreso en el cuerpo de origen.</w:t>
      </w:r>
    </w:p>
    <w:p w:rsidR="00DC4381" w:rsidRPr="00DC4381" w:rsidRDefault="00DC4381" w:rsidP="00DC4381">
      <w:pPr>
        <w:spacing w:after="240" w:line="360" w:lineRule="auto"/>
        <w:jc w:val="both"/>
        <w:rPr>
          <w:rFonts w:ascii="Arial" w:eastAsia="Arial" w:hAnsi="Arial" w:cs="Arial"/>
          <w:lang w:val="es-ES"/>
        </w:rPr>
      </w:pPr>
      <w:r w:rsidRPr="00DC4381">
        <w:rPr>
          <w:rFonts w:ascii="Arial" w:eastAsia="Arial" w:hAnsi="Arial" w:cs="Arial"/>
          <w:i/>
          <w:lang w:val="es-ES"/>
        </w:rPr>
        <w:t>De no cubrirse la plazas mediante promoción interna, serán objeto de una convocatoria en turno libre.</w:t>
      </w:r>
      <w:r>
        <w:rPr>
          <w:rFonts w:ascii="Arial" w:eastAsia="Arial" w:hAnsi="Arial" w:cs="Arial"/>
          <w:lang w:val="es-ES"/>
        </w:rPr>
        <w:t>”</w:t>
      </w:r>
    </w:p>
    <w:p w:rsidR="00DC4381" w:rsidRPr="00DC4381" w:rsidRDefault="00DC4381" w:rsidP="00DC4381">
      <w:pPr>
        <w:spacing w:after="240" w:line="360" w:lineRule="auto"/>
        <w:jc w:val="both"/>
        <w:rPr>
          <w:rFonts w:ascii="Arial" w:eastAsia="Arial" w:hAnsi="Arial" w:cs="Arial"/>
          <w:lang w:val="es-ES"/>
        </w:rPr>
      </w:pPr>
      <w:r w:rsidRPr="00DC4381">
        <w:rPr>
          <w:rFonts w:ascii="Arial" w:eastAsia="Arial" w:hAnsi="Arial" w:cs="Arial"/>
          <w:lang w:val="es-ES"/>
        </w:rPr>
        <w:t xml:space="preserve">Desde luego, desde CSIF no aspiramos a que el cien por cien de las plazas </w:t>
      </w:r>
      <w:r w:rsidR="009C6A0E">
        <w:rPr>
          <w:rFonts w:ascii="Arial" w:eastAsia="Arial" w:hAnsi="Arial" w:cs="Arial"/>
          <w:lang w:val="es-ES"/>
        </w:rPr>
        <w:t>de esta OEP</w:t>
      </w:r>
      <w:r w:rsidRPr="00DC4381">
        <w:rPr>
          <w:rFonts w:ascii="Arial" w:eastAsia="Arial" w:hAnsi="Arial" w:cs="Arial"/>
          <w:lang w:val="es-ES"/>
        </w:rPr>
        <w:t xml:space="preserve"> sean convocadas por el procedimiento de promoción interna, pero sí consideramos necesario un verdadero fomento de </w:t>
      </w:r>
      <w:r w:rsidR="003F6577">
        <w:rPr>
          <w:rFonts w:ascii="Arial" w:eastAsia="Arial" w:hAnsi="Arial" w:cs="Arial"/>
          <w:lang w:val="es-ES"/>
        </w:rPr>
        <w:t>dicha</w:t>
      </w:r>
      <w:r w:rsidRPr="00DC4381">
        <w:rPr>
          <w:rFonts w:ascii="Arial" w:eastAsia="Arial" w:hAnsi="Arial" w:cs="Arial"/>
          <w:lang w:val="es-ES"/>
        </w:rPr>
        <w:t xml:space="preserve"> promoción. Consideramos necesario un reconocimiento del</w:t>
      </w:r>
      <w:r w:rsidR="003F6577">
        <w:rPr>
          <w:rFonts w:ascii="Arial" w:eastAsia="Arial" w:hAnsi="Arial" w:cs="Arial"/>
          <w:lang w:val="es-ES"/>
        </w:rPr>
        <w:t xml:space="preserve"> personal</w:t>
      </w:r>
      <w:r w:rsidRPr="00DC4381">
        <w:rPr>
          <w:rFonts w:ascii="Arial" w:eastAsia="Arial" w:hAnsi="Arial" w:cs="Arial"/>
          <w:lang w:val="es-ES"/>
        </w:rPr>
        <w:t xml:space="preserve"> funcionario de la Administración General de la Comunidad Autónoma que, como ya puso esta organización sindical en evidencia, es el peor tratado</w:t>
      </w:r>
      <w:r w:rsidR="009C6A0E">
        <w:rPr>
          <w:rFonts w:ascii="Arial" w:eastAsia="Arial" w:hAnsi="Arial" w:cs="Arial"/>
          <w:lang w:val="es-ES"/>
        </w:rPr>
        <w:t xml:space="preserve"> salarialmente</w:t>
      </w:r>
      <w:r w:rsidRPr="00DC4381">
        <w:rPr>
          <w:rFonts w:ascii="Arial" w:eastAsia="Arial" w:hAnsi="Arial" w:cs="Arial"/>
          <w:lang w:val="es-ES"/>
        </w:rPr>
        <w:t xml:space="preserve"> del conjunto de todas las Administraciones Públicas, tanto a nivel estatal como en la propia Comunidad Autónoma (Diputaci</w:t>
      </w:r>
      <w:r w:rsidR="003F6577">
        <w:rPr>
          <w:rFonts w:ascii="Arial" w:eastAsia="Arial" w:hAnsi="Arial" w:cs="Arial"/>
          <w:lang w:val="es-ES"/>
        </w:rPr>
        <w:t>o</w:t>
      </w:r>
      <w:r w:rsidRPr="00DC4381">
        <w:rPr>
          <w:rFonts w:ascii="Arial" w:eastAsia="Arial" w:hAnsi="Arial" w:cs="Arial"/>
          <w:lang w:val="es-ES"/>
        </w:rPr>
        <w:t>n</w:t>
      </w:r>
      <w:r w:rsidR="003F6577">
        <w:rPr>
          <w:rFonts w:ascii="Arial" w:eastAsia="Arial" w:hAnsi="Arial" w:cs="Arial"/>
          <w:lang w:val="es-ES"/>
        </w:rPr>
        <w:t>e</w:t>
      </w:r>
      <w:r w:rsidRPr="00DC4381">
        <w:rPr>
          <w:rFonts w:ascii="Arial" w:eastAsia="Arial" w:hAnsi="Arial" w:cs="Arial"/>
          <w:lang w:val="es-ES"/>
        </w:rPr>
        <w:t>s, Ayuntamientos, Universidades, etc.)</w:t>
      </w:r>
    </w:p>
    <w:p w:rsidR="00DC4381" w:rsidRPr="00DC4381" w:rsidRDefault="00DC4381" w:rsidP="00DC4381">
      <w:pPr>
        <w:spacing w:after="240" w:line="360" w:lineRule="auto"/>
        <w:jc w:val="both"/>
        <w:rPr>
          <w:rFonts w:ascii="Arial" w:eastAsia="Arial" w:hAnsi="Arial" w:cs="Arial"/>
          <w:lang w:val="es-ES"/>
        </w:rPr>
      </w:pPr>
      <w:r w:rsidRPr="00DC4381">
        <w:rPr>
          <w:rFonts w:ascii="Arial" w:eastAsia="Arial" w:hAnsi="Arial" w:cs="Arial"/>
          <w:lang w:val="es-ES"/>
        </w:rPr>
        <w:t xml:space="preserve">La Consellería de </w:t>
      </w:r>
      <w:r w:rsidR="003F6577">
        <w:rPr>
          <w:rFonts w:ascii="Arial" w:eastAsia="Arial" w:hAnsi="Arial" w:cs="Arial"/>
          <w:lang w:val="es-ES"/>
        </w:rPr>
        <w:t>F</w:t>
      </w:r>
      <w:r w:rsidRPr="00DC4381">
        <w:rPr>
          <w:rFonts w:ascii="Arial" w:eastAsia="Arial" w:hAnsi="Arial" w:cs="Arial"/>
          <w:lang w:val="es-ES"/>
        </w:rPr>
        <w:t xml:space="preserve">acenda, sin motivo ni explicación, rechazó a la propuesta de modificación de la Ley del empleo publico de Galicia formulada por CSIF de, con carácter extraordinario, convocar los procesos de promoción interna que se </w:t>
      </w:r>
      <w:r w:rsidR="003F6577">
        <w:rPr>
          <w:rFonts w:ascii="Arial" w:eastAsia="Arial" w:hAnsi="Arial" w:cs="Arial"/>
          <w:lang w:val="es-ES"/>
        </w:rPr>
        <w:t>oferten</w:t>
      </w:r>
      <w:r w:rsidRPr="00DC4381">
        <w:rPr>
          <w:rFonts w:ascii="Arial" w:eastAsia="Arial" w:hAnsi="Arial" w:cs="Arial"/>
          <w:lang w:val="es-ES"/>
        </w:rPr>
        <w:t xml:space="preserve"> dentro de él Plan de Mejora del Empleo Público</w:t>
      </w:r>
      <w:r w:rsidR="003F6577">
        <w:rPr>
          <w:rFonts w:ascii="Arial" w:eastAsia="Arial" w:hAnsi="Arial" w:cs="Arial"/>
          <w:lang w:val="es-ES"/>
        </w:rPr>
        <w:t>,</w:t>
      </w:r>
      <w:r w:rsidRPr="00DC4381">
        <w:rPr>
          <w:rFonts w:ascii="Arial" w:eastAsia="Arial" w:hAnsi="Arial" w:cs="Arial"/>
          <w:lang w:val="es-ES"/>
        </w:rPr>
        <w:t xml:space="preserve"> por el sistema de concurso, tal y como permite el </w:t>
      </w:r>
      <w:r w:rsidR="003F6577">
        <w:rPr>
          <w:rFonts w:ascii="Arial" w:eastAsia="Arial" w:hAnsi="Arial" w:cs="Arial"/>
          <w:lang w:val="es-ES"/>
        </w:rPr>
        <w:t>a</w:t>
      </w:r>
      <w:r w:rsidRPr="00DC4381">
        <w:rPr>
          <w:rFonts w:ascii="Arial" w:eastAsia="Arial" w:hAnsi="Arial" w:cs="Arial"/>
          <w:lang w:val="es-ES"/>
        </w:rPr>
        <w:t xml:space="preserve">rtículo 57.1 de dicha ley. </w:t>
      </w:r>
    </w:p>
    <w:p w:rsidR="003F6577" w:rsidRDefault="003F6577" w:rsidP="00D920E0">
      <w:pPr>
        <w:spacing w:after="240" w:line="360" w:lineRule="auto"/>
        <w:jc w:val="both"/>
        <w:rPr>
          <w:rFonts w:ascii="Arial" w:eastAsia="Arial" w:hAnsi="Arial" w:cs="Arial"/>
          <w:lang w:val="es-ES"/>
        </w:rPr>
      </w:pPr>
      <w:r w:rsidRPr="003F6577">
        <w:rPr>
          <w:rFonts w:ascii="Arial" w:eastAsia="Arial" w:hAnsi="Arial" w:cs="Arial"/>
          <w:lang w:val="es-ES"/>
        </w:rPr>
        <w:lastRenderedPageBreak/>
        <w:t xml:space="preserve">Por eso entendemos que </w:t>
      </w:r>
      <w:r>
        <w:rPr>
          <w:rFonts w:ascii="Arial" w:eastAsia="Arial" w:hAnsi="Arial" w:cs="Arial"/>
          <w:lang w:val="es-ES"/>
        </w:rPr>
        <w:t>lo</w:t>
      </w:r>
      <w:r w:rsidRPr="003F6577">
        <w:rPr>
          <w:rFonts w:ascii="Arial" w:eastAsia="Arial" w:hAnsi="Arial" w:cs="Arial"/>
          <w:lang w:val="es-ES"/>
        </w:rPr>
        <w:t xml:space="preserve"> mínimo que le corresponde </w:t>
      </w:r>
      <w:r>
        <w:rPr>
          <w:rFonts w:ascii="Arial" w:eastAsia="Arial" w:hAnsi="Arial" w:cs="Arial"/>
          <w:lang w:val="es-ES"/>
        </w:rPr>
        <w:t>a esta Administración es</w:t>
      </w:r>
      <w:r w:rsidRPr="003F6577">
        <w:rPr>
          <w:rFonts w:ascii="Arial" w:eastAsia="Arial" w:hAnsi="Arial" w:cs="Arial"/>
          <w:lang w:val="es-ES"/>
        </w:rPr>
        <w:t xml:space="preserve"> promover una promoción interna que posibilite una mejora de las condiciones laborales de todos los funcionarios a fin de dignificar su condición</w:t>
      </w:r>
      <w:r w:rsidR="009C6A0E">
        <w:rPr>
          <w:rFonts w:ascii="Arial" w:eastAsia="Arial" w:hAnsi="Arial" w:cs="Arial"/>
          <w:lang w:val="es-ES"/>
        </w:rPr>
        <w:t xml:space="preserve"> y permitir una mejora en sus retribuciones</w:t>
      </w:r>
      <w:r w:rsidRPr="003F6577">
        <w:rPr>
          <w:rFonts w:ascii="Arial" w:eastAsia="Arial" w:hAnsi="Arial" w:cs="Arial"/>
          <w:lang w:val="es-ES"/>
        </w:rPr>
        <w:t xml:space="preserve">. Por el contrario, la única intención que parece tener con ellos es la de insultarlos con sus actos y </w:t>
      </w:r>
      <w:r>
        <w:rPr>
          <w:rFonts w:ascii="Arial" w:eastAsia="Arial" w:hAnsi="Arial" w:cs="Arial"/>
          <w:lang w:val="es-ES"/>
        </w:rPr>
        <w:t>faltarles</w:t>
      </w:r>
      <w:r w:rsidRPr="003F6577">
        <w:rPr>
          <w:rFonts w:ascii="Arial" w:eastAsia="Arial" w:hAnsi="Arial" w:cs="Arial"/>
          <w:lang w:val="es-ES"/>
        </w:rPr>
        <w:t xml:space="preserve"> al respeto con sus acciones.</w:t>
      </w:r>
    </w:p>
    <w:p w:rsidR="003F6577" w:rsidRDefault="00D920E0" w:rsidP="00D920E0">
      <w:pPr>
        <w:spacing w:after="240" w:line="360" w:lineRule="auto"/>
        <w:jc w:val="both"/>
        <w:rPr>
          <w:rFonts w:ascii="Arial" w:eastAsia="Arial" w:hAnsi="Arial" w:cs="Arial"/>
          <w:b/>
          <w:lang w:val="es-ES"/>
        </w:rPr>
      </w:pPr>
      <w:r w:rsidRPr="003F6577">
        <w:rPr>
          <w:rFonts w:ascii="Arial" w:eastAsia="Arial" w:hAnsi="Arial" w:cs="Arial"/>
          <w:b/>
          <w:lang w:val="es-ES"/>
        </w:rPr>
        <w:t>ii) Exclusión d</w:t>
      </w:r>
      <w:r w:rsidR="003F6577">
        <w:rPr>
          <w:rFonts w:ascii="Arial" w:eastAsia="Arial" w:hAnsi="Arial" w:cs="Arial"/>
          <w:b/>
          <w:lang w:val="es-ES"/>
        </w:rPr>
        <w:t>e l</w:t>
      </w:r>
      <w:r w:rsidRPr="003F6577">
        <w:rPr>
          <w:rFonts w:ascii="Arial" w:eastAsia="Arial" w:hAnsi="Arial" w:cs="Arial"/>
          <w:b/>
          <w:lang w:val="es-ES"/>
        </w:rPr>
        <w:t>as Escalas</w:t>
      </w:r>
    </w:p>
    <w:p w:rsidR="003F6577" w:rsidRDefault="003F6577" w:rsidP="00D920E0">
      <w:pPr>
        <w:spacing w:after="240" w:line="360" w:lineRule="auto"/>
        <w:jc w:val="both"/>
        <w:rPr>
          <w:rFonts w:ascii="Arial" w:eastAsia="Arial" w:hAnsi="Arial" w:cs="Arial"/>
          <w:lang w:val="es-ES"/>
        </w:rPr>
      </w:pPr>
      <w:r w:rsidRPr="003F6577">
        <w:rPr>
          <w:rFonts w:ascii="Arial" w:eastAsia="Arial" w:hAnsi="Arial" w:cs="Arial"/>
          <w:lang w:val="es-ES"/>
        </w:rPr>
        <w:t>Sin perjuicio de</w:t>
      </w:r>
      <w:r>
        <w:rPr>
          <w:rFonts w:ascii="Arial" w:eastAsia="Arial" w:hAnsi="Arial" w:cs="Arial"/>
          <w:lang w:val="es-ES"/>
        </w:rPr>
        <w:t xml:space="preserve"> </w:t>
      </w:r>
      <w:r w:rsidRPr="003F6577">
        <w:rPr>
          <w:rFonts w:ascii="Arial" w:eastAsia="Arial" w:hAnsi="Arial" w:cs="Arial"/>
          <w:lang w:val="es-ES"/>
        </w:rPr>
        <w:t>l</w:t>
      </w:r>
      <w:r>
        <w:rPr>
          <w:rFonts w:ascii="Arial" w:eastAsia="Arial" w:hAnsi="Arial" w:cs="Arial"/>
          <w:lang w:val="es-ES"/>
        </w:rPr>
        <w:t>o</w:t>
      </w:r>
      <w:r w:rsidRPr="003F6577">
        <w:rPr>
          <w:rFonts w:ascii="Arial" w:eastAsia="Arial" w:hAnsi="Arial" w:cs="Arial"/>
          <w:lang w:val="es-ES"/>
        </w:rPr>
        <w:t xml:space="preserve"> anteriormente expuesto, es inaudita e inadmisible </w:t>
      </w:r>
      <w:r>
        <w:rPr>
          <w:rFonts w:ascii="Arial" w:eastAsia="Arial" w:hAnsi="Arial" w:cs="Arial"/>
          <w:lang w:val="es-ES"/>
        </w:rPr>
        <w:t>l</w:t>
      </w:r>
      <w:r w:rsidRPr="003F6577">
        <w:rPr>
          <w:rFonts w:ascii="Arial" w:eastAsia="Arial" w:hAnsi="Arial" w:cs="Arial"/>
          <w:lang w:val="es-ES"/>
        </w:rPr>
        <w:t xml:space="preserve">a exclusión expresa que se hace de la promoción interna del personal funcionario perteneciente a las escalas. A modo de ejemplo, los funcionarios de la escala de agentes de inspección, especialidad de consumo, llevan más de diez años sin opción a una promoción interna. Y </w:t>
      </w:r>
      <w:r w:rsidR="009C6A0E">
        <w:rPr>
          <w:rFonts w:ascii="Arial" w:eastAsia="Arial" w:hAnsi="Arial" w:cs="Arial"/>
          <w:lang w:val="es-ES"/>
        </w:rPr>
        <w:t>lo mismo</w:t>
      </w:r>
      <w:r w:rsidRPr="003F6577">
        <w:rPr>
          <w:rFonts w:ascii="Arial" w:eastAsia="Arial" w:hAnsi="Arial" w:cs="Arial"/>
          <w:lang w:val="es-ES"/>
        </w:rPr>
        <w:t xml:space="preserve"> ocurre con el personal funcionario de las escalas de guardacostas.</w:t>
      </w:r>
      <w:r>
        <w:rPr>
          <w:rFonts w:ascii="Arial" w:eastAsia="Arial" w:hAnsi="Arial" w:cs="Arial"/>
          <w:lang w:val="es-ES"/>
        </w:rPr>
        <w:t xml:space="preserve"> Se hace pues imprescindible incluir en esta OEP la promoción interna para todo el personal perteneciente a Escalas.</w:t>
      </w:r>
    </w:p>
    <w:p w:rsidR="003F6577" w:rsidRDefault="00D920E0" w:rsidP="003F6577">
      <w:pPr>
        <w:spacing w:after="240" w:line="360" w:lineRule="auto"/>
        <w:jc w:val="both"/>
        <w:rPr>
          <w:rFonts w:ascii="Arial" w:eastAsia="Arial" w:hAnsi="Arial" w:cs="Arial"/>
          <w:b/>
          <w:lang w:val="es-ES"/>
        </w:rPr>
      </w:pPr>
      <w:r w:rsidRPr="003F6577">
        <w:rPr>
          <w:rFonts w:ascii="Arial" w:eastAsia="Arial" w:hAnsi="Arial" w:cs="Arial"/>
          <w:b/>
          <w:lang w:val="es-ES"/>
        </w:rPr>
        <w:t>B)PROMOCIÓN INTERNA  EN CONVOCATORIA CON</w:t>
      </w:r>
      <w:r w:rsidR="003F6577" w:rsidRPr="003F6577">
        <w:rPr>
          <w:rFonts w:ascii="Arial" w:eastAsia="Arial" w:hAnsi="Arial" w:cs="Arial"/>
          <w:b/>
          <w:lang w:val="es-ES"/>
        </w:rPr>
        <w:t>J</w:t>
      </w:r>
      <w:r w:rsidRPr="003F6577">
        <w:rPr>
          <w:rFonts w:ascii="Arial" w:eastAsia="Arial" w:hAnsi="Arial" w:cs="Arial"/>
          <w:b/>
          <w:lang w:val="es-ES"/>
        </w:rPr>
        <w:t>UNTA CON ACCESO LIBRE.</w:t>
      </w:r>
    </w:p>
    <w:p w:rsidR="003F6577" w:rsidRDefault="003F6577" w:rsidP="003F6577">
      <w:pPr>
        <w:spacing w:after="240" w:line="360" w:lineRule="auto"/>
        <w:jc w:val="both"/>
        <w:rPr>
          <w:rFonts w:ascii="Arial" w:eastAsia="Arial" w:hAnsi="Arial" w:cs="Arial"/>
          <w:lang w:val="es-ES"/>
        </w:rPr>
      </w:pPr>
      <w:r w:rsidRPr="003F6577">
        <w:rPr>
          <w:rFonts w:ascii="Arial" w:eastAsia="Arial" w:hAnsi="Arial" w:cs="Arial"/>
          <w:lang w:val="es-ES"/>
        </w:rPr>
        <w:t xml:space="preserve">CSIF considera imprescindible que en el propio documento del Decreto por </w:t>
      </w:r>
      <w:r>
        <w:rPr>
          <w:rFonts w:ascii="Arial" w:eastAsia="Arial" w:hAnsi="Arial" w:cs="Arial"/>
          <w:lang w:val="es-ES"/>
        </w:rPr>
        <w:t>el</w:t>
      </w:r>
      <w:r w:rsidRPr="003F6577">
        <w:rPr>
          <w:rFonts w:ascii="Arial" w:eastAsia="Arial" w:hAnsi="Arial" w:cs="Arial"/>
          <w:lang w:val="es-ES"/>
        </w:rPr>
        <w:t xml:space="preserve"> que se apruebe la Oferta de Empleo Público para el año 2018 se establezca expresamente que en todos los procesos selectivos para personal de nuevo ingreso</w:t>
      </w:r>
      <w:r w:rsidR="009C6A0E">
        <w:rPr>
          <w:rFonts w:ascii="Arial" w:eastAsia="Arial" w:hAnsi="Arial" w:cs="Arial"/>
          <w:lang w:val="es-ES"/>
        </w:rPr>
        <w:t>,</w:t>
      </w:r>
      <w:r w:rsidRPr="003F6577">
        <w:rPr>
          <w:rFonts w:ascii="Arial" w:eastAsia="Arial" w:hAnsi="Arial" w:cs="Arial"/>
          <w:lang w:val="es-ES"/>
        </w:rPr>
        <w:t xml:space="preserve"> el 25% por ciento de las plazas que se tienen que reservar necesariamente</w:t>
      </w:r>
      <w:r w:rsidR="009C6A0E">
        <w:rPr>
          <w:rFonts w:ascii="Arial" w:eastAsia="Arial" w:hAnsi="Arial" w:cs="Arial"/>
          <w:lang w:val="es-ES"/>
        </w:rPr>
        <w:t xml:space="preserve"> por mandato legal</w:t>
      </w:r>
      <w:r w:rsidRPr="003F6577">
        <w:rPr>
          <w:rFonts w:ascii="Arial" w:eastAsia="Arial" w:hAnsi="Arial" w:cs="Arial"/>
          <w:lang w:val="es-ES"/>
        </w:rPr>
        <w:t xml:space="preserve"> para personal funcionario perteneciente a cuerpos o escalas del subgrupo inmediatamente inferior se</w:t>
      </w:r>
      <w:r w:rsidR="009C6A0E">
        <w:rPr>
          <w:rFonts w:ascii="Arial" w:eastAsia="Arial" w:hAnsi="Arial" w:cs="Arial"/>
          <w:lang w:val="es-ES"/>
        </w:rPr>
        <w:t>rán</w:t>
      </w:r>
      <w:r w:rsidRPr="003F6577">
        <w:rPr>
          <w:rFonts w:ascii="Arial" w:eastAsia="Arial" w:hAnsi="Arial" w:cs="Arial"/>
          <w:lang w:val="es-ES"/>
        </w:rPr>
        <w:t xml:space="preserve"> convocadas </w:t>
      </w:r>
      <w:r w:rsidRPr="003F6577">
        <w:rPr>
          <w:rFonts w:ascii="Arial" w:eastAsia="Arial" w:hAnsi="Arial" w:cs="Arial"/>
          <w:u w:val="single"/>
          <w:lang w:val="es-ES"/>
        </w:rPr>
        <w:t>por el sistema de concurso-oposición y con exclusión de las materias cuyo conocimiento ya fue acreditado para el ingreso en el cuerpo de origen</w:t>
      </w:r>
      <w:r w:rsidRPr="003F6577">
        <w:rPr>
          <w:rFonts w:ascii="Arial" w:eastAsia="Arial" w:hAnsi="Arial" w:cs="Arial"/>
          <w:lang w:val="es-ES"/>
        </w:rPr>
        <w:t xml:space="preserve">. </w:t>
      </w:r>
    </w:p>
    <w:p w:rsidR="003F6577" w:rsidRDefault="003F6577" w:rsidP="003F6577">
      <w:pPr>
        <w:pStyle w:val="Ttulo1"/>
        <w:spacing w:before="0" w:after="240" w:line="360" w:lineRule="auto"/>
        <w:jc w:val="both"/>
        <w:rPr>
          <w:rFonts w:ascii="Arial" w:eastAsia="Arial" w:hAnsi="Arial" w:cs="Arial"/>
          <w:color w:val="auto"/>
          <w:sz w:val="24"/>
          <w:szCs w:val="24"/>
          <w:lang w:val="es-ES"/>
        </w:rPr>
      </w:pPr>
      <w:r w:rsidRPr="003F6577">
        <w:rPr>
          <w:rFonts w:ascii="Arial" w:eastAsia="Arial" w:hAnsi="Arial" w:cs="Arial"/>
          <w:color w:val="auto"/>
          <w:sz w:val="24"/>
          <w:szCs w:val="24"/>
          <w:lang w:val="es-ES"/>
        </w:rPr>
        <w:lastRenderedPageBreak/>
        <w:t xml:space="preserve">Y todo </w:t>
      </w:r>
      <w:r>
        <w:rPr>
          <w:rFonts w:ascii="Arial" w:eastAsia="Arial" w:hAnsi="Arial" w:cs="Arial"/>
          <w:color w:val="auto"/>
          <w:sz w:val="24"/>
          <w:szCs w:val="24"/>
          <w:lang w:val="es-ES"/>
        </w:rPr>
        <w:t xml:space="preserve">ello </w:t>
      </w:r>
      <w:r w:rsidRPr="003F6577">
        <w:rPr>
          <w:rFonts w:ascii="Arial" w:eastAsia="Arial" w:hAnsi="Arial" w:cs="Arial"/>
          <w:color w:val="auto"/>
          <w:sz w:val="24"/>
          <w:szCs w:val="24"/>
          <w:lang w:val="es-ES"/>
        </w:rPr>
        <w:t>debido a que la práctica</w:t>
      </w:r>
      <w:r w:rsidR="009C6A0E">
        <w:rPr>
          <w:rFonts w:ascii="Arial" w:eastAsia="Arial" w:hAnsi="Arial" w:cs="Arial"/>
          <w:color w:val="auto"/>
          <w:sz w:val="24"/>
          <w:szCs w:val="24"/>
          <w:lang w:val="es-ES"/>
        </w:rPr>
        <w:t xml:space="preserve"> habitual</w:t>
      </w:r>
      <w:r w:rsidRPr="003F6577">
        <w:rPr>
          <w:rFonts w:ascii="Arial" w:eastAsia="Arial" w:hAnsi="Arial" w:cs="Arial"/>
          <w:color w:val="auto"/>
          <w:sz w:val="24"/>
          <w:szCs w:val="24"/>
          <w:lang w:val="es-ES"/>
        </w:rPr>
        <w:t xml:space="preserve"> de</w:t>
      </w:r>
      <w:r>
        <w:rPr>
          <w:rFonts w:ascii="Arial" w:eastAsia="Arial" w:hAnsi="Arial" w:cs="Arial"/>
          <w:color w:val="auto"/>
          <w:sz w:val="24"/>
          <w:szCs w:val="24"/>
          <w:lang w:val="es-ES"/>
        </w:rPr>
        <w:t xml:space="preserve"> la Consellería de</w:t>
      </w:r>
      <w:r w:rsidRPr="003F6577">
        <w:rPr>
          <w:rFonts w:ascii="Arial" w:eastAsia="Arial" w:hAnsi="Arial" w:cs="Arial"/>
          <w:color w:val="auto"/>
          <w:sz w:val="24"/>
          <w:szCs w:val="24"/>
          <w:lang w:val="es-ES"/>
        </w:rPr>
        <w:t xml:space="preserve"> </w:t>
      </w:r>
      <w:r>
        <w:rPr>
          <w:rFonts w:ascii="Arial" w:eastAsia="Arial" w:hAnsi="Arial" w:cs="Arial"/>
          <w:color w:val="auto"/>
          <w:sz w:val="24"/>
          <w:szCs w:val="24"/>
          <w:lang w:val="es-ES"/>
        </w:rPr>
        <w:t>F</w:t>
      </w:r>
      <w:r w:rsidRPr="003F6577">
        <w:rPr>
          <w:rFonts w:ascii="Arial" w:eastAsia="Arial" w:hAnsi="Arial" w:cs="Arial"/>
          <w:color w:val="auto"/>
          <w:sz w:val="24"/>
          <w:szCs w:val="24"/>
          <w:lang w:val="es-ES"/>
        </w:rPr>
        <w:t>ac</w:t>
      </w:r>
      <w:r>
        <w:rPr>
          <w:rFonts w:ascii="Arial" w:eastAsia="Arial" w:hAnsi="Arial" w:cs="Arial"/>
          <w:color w:val="auto"/>
          <w:sz w:val="24"/>
          <w:szCs w:val="24"/>
          <w:lang w:val="es-ES"/>
        </w:rPr>
        <w:t>e</w:t>
      </w:r>
      <w:r w:rsidRPr="003F6577">
        <w:rPr>
          <w:rFonts w:ascii="Arial" w:eastAsia="Arial" w:hAnsi="Arial" w:cs="Arial"/>
          <w:color w:val="auto"/>
          <w:sz w:val="24"/>
          <w:szCs w:val="24"/>
          <w:lang w:val="es-ES"/>
        </w:rPr>
        <w:t>nda en las últimas convocatorias es la de no diferenciar la promoción interna del acceso libre cuando de convocatorias conjuntas se trata.</w:t>
      </w:r>
    </w:p>
    <w:p w:rsidR="003868E9" w:rsidRPr="005D4C82" w:rsidRDefault="003868E9" w:rsidP="003868E9">
      <w:pPr>
        <w:pStyle w:val="Ttulo1"/>
        <w:spacing w:before="0" w:after="240" w:line="360" w:lineRule="auto"/>
        <w:rPr>
          <w:rFonts w:ascii="Arial" w:eastAsia="Arial" w:hAnsi="Arial" w:cs="Arial"/>
          <w:sz w:val="24"/>
          <w:szCs w:val="24"/>
          <w:lang w:val="es-ES"/>
        </w:rPr>
      </w:pPr>
      <w:r>
        <w:rPr>
          <w:rFonts w:ascii="Arial" w:eastAsia="Arial" w:hAnsi="Arial" w:cs="Arial"/>
          <w:sz w:val="24"/>
          <w:szCs w:val="24"/>
          <w:lang w:val="es-ES"/>
        </w:rPr>
        <w:t>Anexo V.  Funcionarización.</w:t>
      </w:r>
    </w:p>
    <w:p w:rsidR="003868E9" w:rsidRDefault="003868E9" w:rsidP="003868E9">
      <w:pPr>
        <w:spacing w:after="240" w:line="360" w:lineRule="auto"/>
        <w:jc w:val="both"/>
        <w:rPr>
          <w:rFonts w:ascii="Arial" w:eastAsia="Arial" w:hAnsi="Arial" w:cs="Arial"/>
          <w:lang w:val="es-ES"/>
        </w:rPr>
      </w:pPr>
      <w:r w:rsidRPr="00545805">
        <w:rPr>
          <w:rFonts w:ascii="Arial" w:eastAsia="Arial" w:hAnsi="Arial" w:cs="Arial"/>
          <w:lang w:val="es-ES"/>
        </w:rPr>
        <w:t xml:space="preserve">En el Anexo V se ofertan 577 plazas de funcionarización. </w:t>
      </w:r>
      <w:r>
        <w:rPr>
          <w:rFonts w:ascii="Arial" w:eastAsia="Arial" w:hAnsi="Arial" w:cs="Arial"/>
          <w:lang w:val="es-ES"/>
        </w:rPr>
        <w:t xml:space="preserve">Respecto a este tema creemos que es suficientemente conocido el posicionamiento de </w:t>
      </w:r>
      <w:r w:rsidRPr="004E3DF2">
        <w:rPr>
          <w:rFonts w:ascii="Arial" w:eastAsia="Arial" w:hAnsi="Arial" w:cs="Arial"/>
          <w:b/>
          <w:lang w:val="es-ES"/>
        </w:rPr>
        <w:t>CSIF</w:t>
      </w:r>
      <w:r>
        <w:rPr>
          <w:rFonts w:ascii="Arial" w:eastAsia="Arial" w:hAnsi="Arial" w:cs="Arial"/>
          <w:lang w:val="es-ES"/>
        </w:rPr>
        <w:t xml:space="preserve">: previamente a cualquier convocatoria de funcionarización </w:t>
      </w:r>
      <w:r w:rsidRPr="004E3DF2">
        <w:rPr>
          <w:rFonts w:ascii="Arial" w:eastAsia="Arial" w:hAnsi="Arial" w:cs="Arial"/>
          <w:b/>
          <w:lang w:val="es-ES"/>
        </w:rPr>
        <w:t>deberá negociarse la forma, manera y consecuencias</w:t>
      </w:r>
      <w:r>
        <w:rPr>
          <w:rFonts w:ascii="Arial" w:eastAsia="Arial" w:hAnsi="Arial" w:cs="Arial"/>
          <w:lang w:val="es-ES"/>
        </w:rPr>
        <w:t xml:space="preserve"> de dichos procesos, los cuales no apoyaremos si no son claramente beneficiosos para los intereses del personal laboral.</w:t>
      </w:r>
    </w:p>
    <w:p w:rsidR="003868E9" w:rsidRDefault="003868E9" w:rsidP="003868E9">
      <w:pPr>
        <w:spacing w:after="240" w:line="360" w:lineRule="auto"/>
        <w:jc w:val="both"/>
        <w:rPr>
          <w:rFonts w:ascii="Arial" w:eastAsia="Arial" w:hAnsi="Arial" w:cs="Arial"/>
          <w:lang w:val="es-ES"/>
        </w:rPr>
      </w:pPr>
      <w:r>
        <w:rPr>
          <w:rFonts w:ascii="Arial" w:eastAsia="Arial" w:hAnsi="Arial" w:cs="Arial"/>
          <w:lang w:val="es-ES"/>
        </w:rPr>
        <w:t xml:space="preserve">Igualmente exigimos la </w:t>
      </w:r>
      <w:r w:rsidRPr="004E3DF2">
        <w:rPr>
          <w:rFonts w:ascii="Arial" w:eastAsia="Arial" w:hAnsi="Arial" w:cs="Arial"/>
          <w:b/>
          <w:lang w:val="es-ES"/>
        </w:rPr>
        <w:t>derogación de la normativa impuesta</w:t>
      </w:r>
      <w:r>
        <w:rPr>
          <w:rFonts w:ascii="Arial" w:eastAsia="Arial" w:hAnsi="Arial" w:cs="Arial"/>
          <w:lang w:val="es-ES"/>
        </w:rPr>
        <w:t xml:space="preserve"> al respecto en las leyes de acompañamiento de los presupuestos, con mención especial al </w:t>
      </w:r>
      <w:r w:rsidRPr="004E3DF2">
        <w:rPr>
          <w:rFonts w:ascii="Arial" w:eastAsia="Arial" w:hAnsi="Arial" w:cs="Arial"/>
          <w:b/>
          <w:lang w:val="es-ES"/>
        </w:rPr>
        <w:t>funcionarización forzosa</w:t>
      </w:r>
      <w:r>
        <w:rPr>
          <w:rFonts w:ascii="Arial" w:eastAsia="Arial" w:hAnsi="Arial" w:cs="Arial"/>
          <w:lang w:val="es-ES"/>
        </w:rPr>
        <w:t xml:space="preserve"> del personal temporal bajo </w:t>
      </w:r>
      <w:r w:rsidRPr="004E3DF2">
        <w:rPr>
          <w:rFonts w:ascii="Arial" w:eastAsia="Arial" w:hAnsi="Arial" w:cs="Arial"/>
          <w:b/>
          <w:lang w:val="es-ES"/>
        </w:rPr>
        <w:t>amenaza de despido</w:t>
      </w:r>
      <w:r>
        <w:rPr>
          <w:rFonts w:ascii="Arial" w:eastAsia="Arial" w:hAnsi="Arial" w:cs="Arial"/>
          <w:lang w:val="es-ES"/>
        </w:rPr>
        <w:t>.</w:t>
      </w:r>
    </w:p>
    <w:p w:rsidR="00963963" w:rsidRPr="00963963" w:rsidRDefault="003868E9" w:rsidP="00963963">
      <w:pPr>
        <w:spacing w:after="240" w:line="360" w:lineRule="auto"/>
        <w:jc w:val="both"/>
        <w:rPr>
          <w:rFonts w:ascii="Arial" w:eastAsia="Arial" w:hAnsi="Arial" w:cs="Arial"/>
          <w:lang w:val="es-ES"/>
        </w:rPr>
      </w:pPr>
      <w:r>
        <w:rPr>
          <w:rFonts w:ascii="Arial" w:eastAsia="Arial" w:hAnsi="Arial" w:cs="Arial"/>
          <w:lang w:val="es-ES"/>
        </w:rPr>
        <w:t xml:space="preserve">Y por último respecto a este tema, es condición indispensable la </w:t>
      </w:r>
      <w:r w:rsidRPr="004E3DF2">
        <w:rPr>
          <w:rFonts w:ascii="Arial" w:eastAsia="Arial" w:hAnsi="Arial" w:cs="Arial"/>
          <w:u w:val="single"/>
          <w:lang w:val="es-ES"/>
        </w:rPr>
        <w:t>previa convocatoria</w:t>
      </w:r>
      <w:r>
        <w:rPr>
          <w:rFonts w:ascii="Arial" w:eastAsia="Arial" w:hAnsi="Arial" w:cs="Arial"/>
          <w:lang w:val="es-ES"/>
        </w:rPr>
        <w:t xml:space="preserve"> del </w:t>
      </w:r>
      <w:r w:rsidRPr="004E3DF2">
        <w:rPr>
          <w:rFonts w:ascii="Arial" w:eastAsia="Arial" w:hAnsi="Arial" w:cs="Arial"/>
          <w:b/>
          <w:lang w:val="es-ES"/>
        </w:rPr>
        <w:t>Concurso de Traslados</w:t>
      </w:r>
      <w:r>
        <w:rPr>
          <w:rFonts w:ascii="Arial" w:eastAsia="Arial" w:hAnsi="Arial" w:cs="Arial"/>
          <w:lang w:val="es-ES"/>
        </w:rPr>
        <w:t xml:space="preserve"> con cambio de categoría en todos los grupos, la </w:t>
      </w:r>
      <w:r w:rsidRPr="004E3DF2">
        <w:rPr>
          <w:rFonts w:ascii="Arial" w:eastAsia="Arial" w:hAnsi="Arial" w:cs="Arial"/>
          <w:b/>
          <w:lang w:val="es-ES"/>
        </w:rPr>
        <w:t xml:space="preserve">convocatoria de los procesos selectivos, </w:t>
      </w:r>
      <w:r w:rsidRPr="004E3DF2">
        <w:rPr>
          <w:rFonts w:ascii="Arial" w:eastAsia="Arial" w:hAnsi="Arial" w:cs="Arial"/>
          <w:lang w:val="es-ES"/>
        </w:rPr>
        <w:t>del tipo que sean</w:t>
      </w:r>
      <w:r w:rsidRPr="004E3DF2">
        <w:rPr>
          <w:rFonts w:ascii="Arial" w:eastAsia="Arial" w:hAnsi="Arial" w:cs="Arial"/>
          <w:b/>
          <w:lang w:val="es-ES"/>
        </w:rPr>
        <w:t>, como plazas de personal laboral</w:t>
      </w:r>
      <w:r>
        <w:rPr>
          <w:rFonts w:ascii="Arial" w:eastAsia="Arial" w:hAnsi="Arial" w:cs="Arial"/>
          <w:lang w:val="es-ES"/>
        </w:rPr>
        <w:t xml:space="preserve"> y la convocatoria de la </w:t>
      </w:r>
      <w:r w:rsidRPr="004E3DF2">
        <w:rPr>
          <w:rFonts w:ascii="Arial" w:eastAsia="Arial" w:hAnsi="Arial" w:cs="Arial"/>
          <w:b/>
          <w:lang w:val="es-ES"/>
        </w:rPr>
        <w:t>promoción interna</w:t>
      </w:r>
      <w:r w:rsidR="00963963">
        <w:rPr>
          <w:rFonts w:ascii="Arial" w:eastAsia="Arial" w:hAnsi="Arial" w:cs="Arial"/>
          <w:lang w:val="es-ES"/>
        </w:rPr>
        <w:t xml:space="preserve"> para todas las categorías </w:t>
      </w:r>
      <w:r w:rsidR="004E3DF2">
        <w:rPr>
          <w:rFonts w:ascii="Arial" w:eastAsia="Arial" w:hAnsi="Arial" w:cs="Arial"/>
          <w:lang w:val="es-ES"/>
        </w:rPr>
        <w:t xml:space="preserve">del personal laboral </w:t>
      </w:r>
      <w:r w:rsidR="00963963">
        <w:rPr>
          <w:rFonts w:ascii="Arial" w:eastAsia="Arial" w:hAnsi="Arial" w:cs="Arial"/>
          <w:lang w:val="es-ES"/>
        </w:rPr>
        <w:t>en l</w:t>
      </w:r>
      <w:r>
        <w:rPr>
          <w:rFonts w:ascii="Arial" w:eastAsia="Arial" w:hAnsi="Arial" w:cs="Arial"/>
          <w:lang w:val="es-ES"/>
        </w:rPr>
        <w:t>os términos legalmente establecidos.</w:t>
      </w:r>
    </w:p>
    <w:p w:rsidR="00963963" w:rsidRDefault="00963963" w:rsidP="00963963">
      <w:pPr>
        <w:spacing w:after="240" w:line="360" w:lineRule="auto"/>
        <w:ind w:left="-284"/>
        <w:jc w:val="both"/>
        <w:rPr>
          <w:rFonts w:ascii="Arial" w:eastAsia="Arial" w:hAnsi="Arial" w:cs="Arial"/>
          <w:lang w:val="es-ES"/>
        </w:rPr>
      </w:pPr>
      <w:r>
        <w:rPr>
          <w:rFonts w:ascii="Arial" w:eastAsia="Arial" w:hAnsi="Arial" w:cs="Arial"/>
          <w:lang w:val="es-ES"/>
        </w:rPr>
        <w:t>En resumen, y tras el análisis de la propuesta, se hace evidente que este proyect</w:t>
      </w:r>
      <w:r w:rsidR="004E3DF2">
        <w:rPr>
          <w:rFonts w:ascii="Arial" w:eastAsia="Arial" w:hAnsi="Arial" w:cs="Arial"/>
          <w:lang w:val="es-ES"/>
        </w:rPr>
        <w:t>o de OPE parece solamente obedec</w:t>
      </w:r>
      <w:r>
        <w:rPr>
          <w:rFonts w:ascii="Arial" w:eastAsia="Arial" w:hAnsi="Arial" w:cs="Arial"/>
          <w:lang w:val="es-ES"/>
        </w:rPr>
        <w:t xml:space="preserve">er a </w:t>
      </w:r>
      <w:r w:rsidRPr="004E3DF2">
        <w:rPr>
          <w:rFonts w:ascii="Arial" w:eastAsia="Arial" w:hAnsi="Arial" w:cs="Arial"/>
          <w:b/>
          <w:lang w:val="es-ES"/>
        </w:rPr>
        <w:t>intereses propagandísticos</w:t>
      </w:r>
      <w:r>
        <w:rPr>
          <w:rFonts w:ascii="Arial" w:eastAsia="Arial" w:hAnsi="Arial" w:cs="Arial"/>
          <w:lang w:val="es-ES"/>
        </w:rPr>
        <w:t xml:space="preserve"> totalmente alejados de los interés del empleo público y del respeto a la Función Pública. Parece que esta administracición ha hecho suyo el dicho de que “</w:t>
      </w:r>
      <w:r w:rsidRPr="004E3DF2">
        <w:rPr>
          <w:rFonts w:ascii="Arial" w:eastAsia="Arial" w:hAnsi="Arial" w:cs="Arial"/>
          <w:b/>
          <w:lang w:val="es-ES"/>
        </w:rPr>
        <w:t>el papel lo agunta todo</w:t>
      </w:r>
      <w:r>
        <w:rPr>
          <w:rFonts w:ascii="Arial" w:eastAsia="Arial" w:hAnsi="Arial" w:cs="Arial"/>
          <w:lang w:val="es-ES"/>
        </w:rPr>
        <w:t xml:space="preserve">”, ya que lo que se nos presenta </w:t>
      </w:r>
      <w:r w:rsidRPr="004E3DF2">
        <w:rPr>
          <w:rFonts w:ascii="Arial" w:eastAsia="Arial" w:hAnsi="Arial" w:cs="Arial"/>
          <w:b/>
          <w:u w:val="single"/>
          <w:lang w:val="es-ES"/>
        </w:rPr>
        <w:t>es un proyecto ilegal, injusto e irrealizable</w:t>
      </w:r>
      <w:r>
        <w:rPr>
          <w:rFonts w:ascii="Arial" w:eastAsia="Arial" w:hAnsi="Arial" w:cs="Arial"/>
          <w:lang w:val="es-ES"/>
        </w:rPr>
        <w:t>, que con toda seguridad, será nueva fuente de conflictos y objeto de otra avalancha de reclamaciones judiciales.</w:t>
      </w:r>
    </w:p>
    <w:p w:rsidR="009C6A0E" w:rsidRDefault="009C6A0E" w:rsidP="00963963">
      <w:pPr>
        <w:spacing w:after="240" w:line="360" w:lineRule="auto"/>
        <w:ind w:left="-284"/>
        <w:jc w:val="both"/>
        <w:rPr>
          <w:rFonts w:ascii="Arial" w:eastAsia="Arial" w:hAnsi="Arial" w:cs="Arial"/>
          <w:lang w:val="es-ES"/>
        </w:rPr>
      </w:pPr>
    </w:p>
    <w:p w:rsidR="009C6A0E" w:rsidRDefault="009C6A0E" w:rsidP="00963963">
      <w:pPr>
        <w:spacing w:after="240" w:line="360" w:lineRule="auto"/>
        <w:ind w:left="-284"/>
        <w:jc w:val="both"/>
        <w:rPr>
          <w:rFonts w:ascii="Arial" w:eastAsia="Arial" w:hAnsi="Arial" w:cs="Arial"/>
          <w:lang w:val="es-ES"/>
        </w:rPr>
      </w:pPr>
    </w:p>
    <w:p w:rsidR="009C6A0E" w:rsidRDefault="009C6A0E" w:rsidP="00963963">
      <w:pPr>
        <w:spacing w:after="240" w:line="360" w:lineRule="auto"/>
        <w:ind w:left="-284"/>
        <w:jc w:val="both"/>
        <w:rPr>
          <w:rFonts w:ascii="Arial" w:eastAsia="Arial" w:hAnsi="Arial" w:cs="Arial"/>
          <w:b/>
          <w:lang w:val="es-ES"/>
        </w:rPr>
      </w:pPr>
      <w:r w:rsidRPr="009C6A0E">
        <w:rPr>
          <w:rFonts w:ascii="Arial" w:eastAsia="Arial" w:hAnsi="Arial" w:cs="Arial"/>
          <w:b/>
          <w:lang w:val="es-ES"/>
        </w:rPr>
        <w:lastRenderedPageBreak/>
        <w:t>CONCLUSIÓN:</w:t>
      </w:r>
    </w:p>
    <w:p w:rsidR="00C304AC" w:rsidRDefault="009C6A0E" w:rsidP="00963963">
      <w:pPr>
        <w:spacing w:after="240" w:line="360" w:lineRule="auto"/>
        <w:ind w:left="-284"/>
        <w:jc w:val="both"/>
        <w:rPr>
          <w:rFonts w:ascii="Arial" w:eastAsia="Arial" w:hAnsi="Arial" w:cs="Arial"/>
          <w:lang w:val="es-ES"/>
        </w:rPr>
      </w:pPr>
      <w:r>
        <w:rPr>
          <w:rFonts w:ascii="Arial" w:eastAsia="Arial" w:hAnsi="Arial" w:cs="Arial"/>
          <w:lang w:val="es-ES"/>
        </w:rPr>
        <w:t>De mantenerse esta propuesta de OEP para el año 2018, la Consellería de Facenda estará poniendo en evidencia la deslealtad y la traición de la Xunta de Galicia</w:t>
      </w:r>
      <w:r w:rsidR="00C304AC">
        <w:rPr>
          <w:rFonts w:ascii="Arial" w:eastAsia="Arial" w:hAnsi="Arial" w:cs="Arial"/>
          <w:lang w:val="es-ES"/>
        </w:rPr>
        <w:t>. Delealtad y traición que se manifiesta ya no sólo co</w:t>
      </w:r>
      <w:r>
        <w:rPr>
          <w:rFonts w:ascii="Arial" w:eastAsia="Arial" w:hAnsi="Arial" w:cs="Arial"/>
          <w:lang w:val="es-ES"/>
        </w:rPr>
        <w:t>n sus empleados</w:t>
      </w:r>
      <w:r w:rsidR="00C304AC">
        <w:rPr>
          <w:rFonts w:ascii="Arial" w:eastAsia="Arial" w:hAnsi="Arial" w:cs="Arial"/>
          <w:lang w:val="es-ES"/>
        </w:rPr>
        <w:t xml:space="preserve"> públicos</w:t>
      </w:r>
      <w:r>
        <w:rPr>
          <w:rFonts w:ascii="Arial" w:eastAsia="Arial" w:hAnsi="Arial" w:cs="Arial"/>
          <w:lang w:val="es-ES"/>
        </w:rPr>
        <w:t xml:space="preserve"> pertenecientes a la Administración General</w:t>
      </w:r>
      <w:r w:rsidR="00C304AC">
        <w:rPr>
          <w:rFonts w:ascii="Arial" w:eastAsia="Arial" w:hAnsi="Arial" w:cs="Arial"/>
          <w:lang w:val="es-ES"/>
        </w:rPr>
        <w:t xml:space="preserve"> al no respetar los pactos y acuerdos alcanzados en la Mesa Xeral de Negociación de Empleados Públicos, sino que también deslealtad y traición con su propio partido político por tampoco respetar e incumplir flagrantemente los acuerdos que CSIF, CCOO y UGT alcanzaron a nivel nacional con el gobierno de España, siendo Mariano Rajoy su presidente.</w:t>
      </w:r>
    </w:p>
    <w:p w:rsidR="00963963" w:rsidRPr="00963963" w:rsidRDefault="00963963" w:rsidP="00963963">
      <w:pPr>
        <w:spacing w:after="240" w:line="360" w:lineRule="auto"/>
        <w:ind w:left="-284"/>
        <w:jc w:val="both"/>
        <w:rPr>
          <w:rFonts w:ascii="Arial" w:eastAsia="Arial" w:hAnsi="Arial" w:cs="Arial"/>
          <w:lang w:val="es-ES"/>
        </w:rPr>
      </w:pPr>
      <w:r>
        <w:rPr>
          <w:rFonts w:ascii="Arial" w:eastAsia="Arial" w:hAnsi="Arial" w:cs="Arial"/>
          <w:lang w:val="es-ES"/>
        </w:rPr>
        <w:t xml:space="preserve">Por todo ello, </w:t>
      </w:r>
      <w:r w:rsidRPr="004E3DF2">
        <w:rPr>
          <w:rFonts w:ascii="Arial" w:eastAsia="Arial" w:hAnsi="Arial" w:cs="Arial"/>
          <w:b/>
          <w:lang w:val="es-ES"/>
        </w:rPr>
        <w:t>mantenemos nuestra petición de retirada del proyecto</w:t>
      </w:r>
      <w:r>
        <w:rPr>
          <w:rFonts w:ascii="Arial" w:eastAsia="Arial" w:hAnsi="Arial" w:cs="Arial"/>
          <w:lang w:val="es-ES"/>
        </w:rPr>
        <w:t xml:space="preserve"> de Oefrta de Empleo Público para el año 2018.</w:t>
      </w:r>
    </w:p>
    <w:p w:rsidR="003868E9" w:rsidRPr="005D4C82" w:rsidRDefault="003868E9" w:rsidP="003868E9">
      <w:pPr>
        <w:spacing w:after="240" w:line="360" w:lineRule="auto"/>
        <w:ind w:left="705"/>
        <w:jc w:val="both"/>
        <w:rPr>
          <w:rFonts w:ascii="Arial" w:eastAsia="Arial" w:hAnsi="Arial" w:cs="Arial"/>
          <w:u w:val="single"/>
          <w:lang w:val="es-ES"/>
        </w:rPr>
      </w:pPr>
    </w:p>
    <w:p w:rsidR="003868E9" w:rsidRPr="005D4C82" w:rsidRDefault="00D56B9D" w:rsidP="003868E9">
      <w:pPr>
        <w:spacing w:after="240" w:line="360" w:lineRule="auto"/>
        <w:jc w:val="both"/>
        <w:rPr>
          <w:rFonts w:ascii="Arial" w:eastAsia="Arial" w:hAnsi="Arial" w:cs="Arial"/>
          <w:lang w:val="es-ES"/>
        </w:rPr>
      </w:pPr>
      <w:r>
        <w:rPr>
          <w:rFonts w:ascii="Arial" w:eastAsia="Arial" w:hAnsi="Arial" w:cs="Arial"/>
          <w:lang w:val="es-ES"/>
        </w:rPr>
        <w:t>Santiago de Compostela, 29</w:t>
      </w:r>
      <w:r w:rsidR="003868E9" w:rsidRPr="005D4C82">
        <w:rPr>
          <w:rFonts w:ascii="Arial" w:eastAsia="Arial" w:hAnsi="Arial" w:cs="Arial"/>
          <w:lang w:val="es-ES"/>
        </w:rPr>
        <w:t xml:space="preserve"> de noviembre de 2018</w:t>
      </w:r>
    </w:p>
    <w:p w:rsidR="003868E9" w:rsidRPr="005D4C82" w:rsidRDefault="003868E9" w:rsidP="003868E9">
      <w:pPr>
        <w:jc w:val="both"/>
        <w:rPr>
          <w:rFonts w:ascii="Arial" w:eastAsia="Arial" w:hAnsi="Arial" w:cs="Arial"/>
          <w:lang w:val="es-ES"/>
        </w:rPr>
      </w:pPr>
    </w:p>
    <w:p w:rsidR="00C304AC" w:rsidRDefault="00C304AC" w:rsidP="003868E9">
      <w:pPr>
        <w:jc w:val="both"/>
        <w:rPr>
          <w:rFonts w:ascii="Arial" w:eastAsia="Arial" w:hAnsi="Arial" w:cs="Arial"/>
          <w:lang w:val="es-ES"/>
        </w:rPr>
      </w:pPr>
    </w:p>
    <w:p w:rsidR="003868E9" w:rsidRPr="005D4C82" w:rsidRDefault="003868E9" w:rsidP="003868E9">
      <w:pPr>
        <w:jc w:val="both"/>
        <w:rPr>
          <w:rFonts w:ascii="Arial" w:eastAsia="Arial" w:hAnsi="Arial" w:cs="Arial"/>
          <w:lang w:val="es-ES"/>
        </w:rPr>
      </w:pPr>
      <w:r w:rsidRPr="005D4C82">
        <w:rPr>
          <w:rFonts w:ascii="Arial" w:eastAsia="Arial" w:hAnsi="Arial" w:cs="Arial"/>
          <w:lang w:val="es-ES"/>
        </w:rPr>
        <w:t>José Fco. Sánchez-Brunete Varela</w:t>
      </w:r>
    </w:p>
    <w:p w:rsidR="003868E9" w:rsidRPr="005D4C82" w:rsidRDefault="003868E9" w:rsidP="003868E9">
      <w:pPr>
        <w:jc w:val="both"/>
        <w:rPr>
          <w:rFonts w:ascii="Arial" w:eastAsia="Arial" w:hAnsi="Arial" w:cs="Arial"/>
          <w:lang w:val="es-ES"/>
        </w:rPr>
      </w:pPr>
      <w:r w:rsidRPr="005D4C82">
        <w:rPr>
          <w:rFonts w:ascii="Arial" w:eastAsia="Arial" w:hAnsi="Arial" w:cs="Arial"/>
          <w:lang w:val="es-ES"/>
        </w:rPr>
        <w:t>Secretario de organización</w:t>
      </w:r>
    </w:p>
    <w:p w:rsidR="003868E9" w:rsidRPr="005D4C82" w:rsidRDefault="003868E9" w:rsidP="003868E9">
      <w:pPr>
        <w:jc w:val="both"/>
        <w:rPr>
          <w:rFonts w:ascii="Arial" w:eastAsia="Arial" w:hAnsi="Arial" w:cs="Arial"/>
          <w:lang w:val="es-ES"/>
        </w:rPr>
      </w:pPr>
      <w:r w:rsidRPr="005D4C82">
        <w:rPr>
          <w:rFonts w:ascii="Arial" w:eastAsia="Arial" w:hAnsi="Arial" w:cs="Arial"/>
          <w:lang w:val="es-ES"/>
        </w:rPr>
        <w:t>y negociación autonómica</w:t>
      </w:r>
    </w:p>
    <w:p w:rsidR="004C7916" w:rsidRPr="00FB2A3A" w:rsidRDefault="004C7916" w:rsidP="003868E9">
      <w:pPr>
        <w:pStyle w:val="Ttulo1"/>
        <w:rPr>
          <w:rFonts w:ascii="Arial" w:hAnsi="Arial" w:cs="Arial"/>
          <w:noProof w:val="0"/>
        </w:rPr>
      </w:pPr>
    </w:p>
    <w:sectPr w:rsidR="004C7916" w:rsidRPr="00FB2A3A" w:rsidSect="004E3DF2">
      <w:headerReference w:type="even" r:id="rId8"/>
      <w:headerReference w:type="default" r:id="rId9"/>
      <w:footerReference w:type="default" r:id="rId10"/>
      <w:headerReference w:type="first" r:id="rId11"/>
      <w:pgSz w:w="11906" w:h="16838"/>
      <w:pgMar w:top="2268" w:right="1134" w:bottom="1871" w:left="1134" w:header="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60D" w:rsidRDefault="002F260D">
      <w:r>
        <w:separator/>
      </w:r>
    </w:p>
  </w:endnote>
  <w:endnote w:type="continuationSeparator" w:id="0">
    <w:p w:rsidR="002F260D" w:rsidRDefault="002F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B3D" w:rsidRPr="008878BD" w:rsidRDefault="00FD6B3D" w:rsidP="00A7732F">
    <w:pPr>
      <w:jc w:val="center"/>
      <w:rPr>
        <w:rFonts w:ascii="Arial Narrow" w:hAnsi="Arial Narrow"/>
        <w:b/>
        <w:color w:val="385623"/>
        <w:sz w:val="22"/>
        <w:szCs w:val="22"/>
      </w:rPr>
    </w:pPr>
    <w:r w:rsidRPr="008878BD">
      <w:rPr>
        <w:rFonts w:ascii="Arial Narrow" w:hAnsi="Arial Narrow"/>
        <w:b/>
        <w:color w:val="385623"/>
        <w:sz w:val="22"/>
        <w:szCs w:val="22"/>
      </w:rPr>
      <w:t>CSI•F Galicia</w:t>
    </w:r>
  </w:p>
  <w:p w:rsidR="00FD6B3D" w:rsidRPr="006F7D03" w:rsidRDefault="00FD6B3D" w:rsidP="006A7515">
    <w:pPr>
      <w:widowControl w:val="0"/>
      <w:autoSpaceDE w:val="0"/>
      <w:autoSpaceDN w:val="0"/>
      <w:adjustRightInd w:val="0"/>
      <w:jc w:val="center"/>
      <w:rPr>
        <w:rFonts w:ascii="Garamond" w:hAnsi="Garamond" w:cs="Garamond"/>
      </w:rPr>
    </w:pPr>
    <w:r w:rsidRPr="006F7D03">
      <w:rPr>
        <w:rFonts w:ascii="Garamond" w:hAnsi="Garamond" w:cs="Garamond"/>
      </w:rPr>
      <w:t>Rúa do Valiño, 65, Baixo, 15707 - Santiago de Compostela</w:t>
    </w:r>
  </w:p>
  <w:p w:rsidR="00FD6B3D" w:rsidRPr="00AC046F" w:rsidRDefault="00FD6B3D" w:rsidP="006A7515">
    <w:pPr>
      <w:widowControl w:val="0"/>
      <w:autoSpaceDE w:val="0"/>
      <w:autoSpaceDN w:val="0"/>
      <w:adjustRightInd w:val="0"/>
      <w:jc w:val="center"/>
      <w:rPr>
        <w:rFonts w:ascii="Calibri Light" w:hAnsi="Calibri Light"/>
        <w:b/>
      </w:rPr>
    </w:pPr>
    <w:r>
      <w:rPr>
        <w:lang w:val="es-ES"/>
      </w:rPr>
      <w:drawing>
        <wp:anchor distT="0" distB="0" distL="114300" distR="114300" simplePos="0" relativeHeight="251659264" behindDoc="1" locked="0" layoutInCell="1" allowOverlap="1">
          <wp:simplePos x="0" y="0"/>
          <wp:positionH relativeFrom="column">
            <wp:posOffset>3581400</wp:posOffset>
          </wp:positionH>
          <wp:positionV relativeFrom="paragraph">
            <wp:posOffset>21590</wp:posOffset>
          </wp:positionV>
          <wp:extent cx="161925" cy="107315"/>
          <wp:effectExtent l="0" t="0" r="0" b="0"/>
          <wp:wrapNone/>
          <wp:docPr id="8" name="Imagen 8" descr="http://www3.uji.es/~vrubert/2010-iib-a/images/iexplo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uji.es/~vrubert/2010-iib-a/images/iexplor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 cy="107315"/>
                  </a:xfrm>
                  <a:prstGeom prst="rect">
                    <a:avLst/>
                  </a:prstGeom>
                  <a:noFill/>
                  <a:ln>
                    <a:noFill/>
                  </a:ln>
                </pic:spPr>
              </pic:pic>
            </a:graphicData>
          </a:graphic>
        </wp:anchor>
      </w:drawing>
    </w:r>
    <w:r>
      <w:rPr>
        <w:rFonts w:ascii="Wingdings" w:hAnsi="Wingdings"/>
        <w:color w:val="215868"/>
        <w:sz w:val="18"/>
        <w:szCs w:val="18"/>
      </w:rPr>
      <w:t></w:t>
    </w:r>
    <w:r w:rsidRPr="007A2B58">
      <w:rPr>
        <w:rFonts w:ascii="Wingdings" w:hAnsi="Wingdings"/>
        <w:color w:val="215868"/>
        <w:sz w:val="18"/>
        <w:szCs w:val="18"/>
      </w:rPr>
      <w:t></w:t>
    </w:r>
    <w:r w:rsidRPr="00566672">
      <w:rPr>
        <w:rFonts w:ascii="Garamond" w:hAnsi="Garamond" w:cs="Garamond"/>
        <w:sz w:val="20"/>
        <w:szCs w:val="20"/>
      </w:rPr>
      <w:t>981 560 951</w:t>
    </w:r>
    <w:r w:rsidRPr="007A2B58">
      <w:rPr>
        <w:rFonts w:ascii="Wingdings 2" w:hAnsi="Wingdings 2"/>
        <w:color w:val="215868"/>
        <w:sz w:val="18"/>
        <w:szCs w:val="18"/>
      </w:rPr>
      <w:t></w:t>
    </w:r>
    <w:r w:rsidRPr="00566672">
      <w:rPr>
        <w:rFonts w:ascii="Garamond" w:hAnsi="Garamond" w:cs="Garamond"/>
        <w:sz w:val="20"/>
        <w:szCs w:val="20"/>
      </w:rPr>
      <w:t>981 575 140</w:t>
    </w:r>
    <w:r>
      <w:rPr>
        <w:rFonts w:ascii="Wingdings" w:hAnsi="Wingdings"/>
        <w:color w:val="215868"/>
        <w:sz w:val="18"/>
        <w:szCs w:val="18"/>
      </w:rPr>
      <w:t></w:t>
    </w:r>
    <w:r w:rsidRPr="007A2B58">
      <w:rPr>
        <w:rFonts w:ascii="Wingdings" w:hAnsi="Wingdings"/>
        <w:color w:val="215868"/>
        <w:sz w:val="18"/>
        <w:szCs w:val="18"/>
      </w:rPr>
      <w:t></w:t>
    </w:r>
    <w:hyperlink r:id="rId2" w:history="1">
      <w:r w:rsidRPr="00AC046F">
        <w:rPr>
          <w:rStyle w:val="Hipervnculo"/>
          <w:rFonts w:ascii="Calibri Light" w:hAnsi="Calibri Light"/>
          <w:b/>
          <w:sz w:val="16"/>
          <w:szCs w:val="16"/>
        </w:rPr>
        <w:t>galicia@csi-f.es</w:t>
      </w:r>
    </w:hyperlink>
    <w:hyperlink r:id="rId3" w:history="1">
      <w:r w:rsidRPr="00AC046F">
        <w:rPr>
          <w:rStyle w:val="Hipervnculo"/>
          <w:rFonts w:ascii="Calibri Light" w:hAnsi="Calibri Light"/>
          <w:b/>
          <w:sz w:val="16"/>
          <w:szCs w:val="16"/>
        </w:rPr>
        <w:t>www.csi-f.es/ambito/galicia</w:t>
      </w:r>
    </w:hyperlink>
  </w:p>
  <w:p w:rsidR="00FD6B3D" w:rsidRDefault="00FD6B3D">
    <w:pPr>
      <w:pStyle w:val="Piedepgina"/>
      <w:jc w:val="right"/>
    </w:pPr>
  </w:p>
  <w:p w:rsidR="00FD6B3D" w:rsidRPr="00635DFF" w:rsidRDefault="00FD6B3D" w:rsidP="00635DFF">
    <w:pPr>
      <w:pStyle w:val="Piedep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60D" w:rsidRDefault="002F260D">
      <w:r>
        <w:separator/>
      </w:r>
    </w:p>
  </w:footnote>
  <w:footnote w:type="continuationSeparator" w:id="0">
    <w:p w:rsidR="002F260D" w:rsidRDefault="002F2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B3D" w:rsidRDefault="002F260D">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5527" o:spid="_x0000_s2051" type="#_x0000_t75" alt="marca de agua" style="position:absolute;margin-left:0;margin-top:0;width:453.25pt;height:418.65pt;z-index:-251656704;mso-wrap-edited:f;mso-width-percent:0;mso-height-percent:0;mso-position-horizontal:center;mso-position-horizontal-relative:margin;mso-position-vertical:center;mso-position-vertical-relative:margin;mso-width-percent:0;mso-height-percent:0" o:allowincell="f">
          <v:imagedata r:id="rId1" o:title="marca de agua"/>
          <w10:wrap anchorx="margin" anchory="margin"/>
        </v:shape>
      </w:pict>
    </w:r>
    <w:r w:rsidR="00FD6B3D">
      <w:rPr>
        <w:lang w:val="es-ES"/>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169025" cy="5711190"/>
          <wp:effectExtent l="0" t="0" r="3175" b="3810"/>
          <wp:wrapNone/>
          <wp:docPr id="6" name="Imagen 6" descr="narcade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arcadeagua"/>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69025" cy="571119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B3D" w:rsidRDefault="002F260D" w:rsidP="004255E5">
    <w:pPr>
      <w:pStyle w:val="Encabezado"/>
      <w:jc w:val="right"/>
    </w:pPr>
    <w:sdt>
      <w:sdtPr>
        <w:id w:val="1167049086"/>
        <w:docPartObj>
          <w:docPartGallery w:val="Page Numbers (Margins)"/>
          <w:docPartUnique/>
        </w:docPartObj>
      </w:sdtPr>
      <w:sdtEndPr/>
      <w:sdtContent>
        <w:r w:rsidR="00C304AC">
          <w:rPr>
            <w:rFonts w:asciiTheme="majorHAnsi" w:eastAsiaTheme="majorEastAsia" w:hAnsiTheme="majorHAnsi" w:cstheme="majorBidi"/>
            <w:sz w:val="28"/>
            <w:szCs w:val="28"/>
            <w:lang w:val="es-ES"/>
          </w:rPr>
          <mc:AlternateContent>
            <mc:Choice Requires="wps">
              <w:drawing>
                <wp:anchor distT="0" distB="0" distL="114300" distR="114300" simplePos="0" relativeHeight="251662848"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3"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D6B3D" w:rsidRDefault="0025377E">
                              <w:pPr>
                                <w:rPr>
                                  <w:rStyle w:val="Nmerodepgina"/>
                                  <w:color w:val="FFFFFF" w:themeColor="background1"/>
                                </w:rPr>
                              </w:pPr>
                              <w:r>
                                <w:rPr>
                                  <w:sz w:val="22"/>
                                  <w:szCs w:val="22"/>
                                </w:rPr>
                                <w:fldChar w:fldCharType="begin"/>
                              </w:r>
                              <w:r w:rsidR="00FD6B3D">
                                <w:instrText>PAGE    \* MERGEFORMAT</w:instrText>
                              </w:r>
                              <w:r>
                                <w:rPr>
                                  <w:sz w:val="22"/>
                                  <w:szCs w:val="22"/>
                                </w:rPr>
                                <w:fldChar w:fldCharType="separate"/>
                              </w:r>
                              <w:r w:rsidR="00B36809" w:rsidRPr="00B36809">
                                <w:rPr>
                                  <w:rStyle w:val="Nmerodepgina"/>
                                  <w:b/>
                                  <w:bCs/>
                                  <w:color w:val="FFFFFF" w:themeColor="background1"/>
                                  <w:lang w:val="es-ES"/>
                                </w:rPr>
                                <w:t>5</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left:0;text-align:left;margin-left:0;margin-top:0;width:37.6pt;height:37.6pt;z-index:25166284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BAAM151AgAA7wQAAA4AAAAAAAAAAAAA&#10;AAAALgIAAGRycy9lMm9Eb2MueG1sUEsBAi0AFAAGAAgAAAAhAOywSJ/YAAAAAwEAAA8AAAAAAAAA&#10;AAAAAAAAzwQAAGRycy9kb3ducmV2LnhtbFBLBQYAAAAABAAEAPMAAADUBQAAAAA=&#10;" o:allowincell="f" fillcolor="#9dbb61" stroked="f">
                  <v:textbox inset="0,,0">
                    <w:txbxContent>
                      <w:p w:rsidR="00FD6B3D" w:rsidRDefault="0025377E">
                        <w:pPr>
                          <w:rPr>
                            <w:rStyle w:val="Nmerodepgina"/>
                            <w:color w:val="FFFFFF" w:themeColor="background1"/>
                          </w:rPr>
                        </w:pPr>
                        <w:r>
                          <w:rPr>
                            <w:sz w:val="22"/>
                            <w:szCs w:val="22"/>
                          </w:rPr>
                          <w:fldChar w:fldCharType="begin"/>
                        </w:r>
                        <w:r w:rsidR="00FD6B3D">
                          <w:instrText>PAGE    \* MERGEFORMAT</w:instrText>
                        </w:r>
                        <w:r>
                          <w:rPr>
                            <w:sz w:val="22"/>
                            <w:szCs w:val="22"/>
                          </w:rPr>
                          <w:fldChar w:fldCharType="separate"/>
                        </w:r>
                        <w:r w:rsidR="00B36809" w:rsidRPr="00B36809">
                          <w:rPr>
                            <w:rStyle w:val="Nmerodepgina"/>
                            <w:b/>
                            <w:bCs/>
                            <w:color w:val="FFFFFF" w:themeColor="background1"/>
                            <w:lang w:val="es-ES"/>
                          </w:rPr>
                          <w:t>5</w:t>
                        </w:r>
                        <w:r>
                          <w:rPr>
                            <w:rStyle w:val="Nmerodepgina"/>
                            <w:b/>
                            <w:bCs/>
                            <w:color w:val="FFFFFF" w:themeColor="background1"/>
                          </w:rPr>
                          <w:fldChar w:fldCharType="end"/>
                        </w:r>
                      </w:p>
                    </w:txbxContent>
                  </v:textbox>
                  <w10:wrap anchorx="margin" anchory="page"/>
                </v:oval>
              </w:pict>
            </mc:Fallback>
          </mc:AlternateContent>
        </w:r>
      </w:sdtContent>
    </w:sdt>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5528" o:spid="_x0000_s2050" type="#_x0000_t75" alt="marca de agua" style="position:absolute;left:0;text-align:left;margin-left:0;margin-top:0;width:453.25pt;height:418.65pt;z-index:-251655680;mso-wrap-edited:f;mso-width-percent:0;mso-height-percent:0;mso-position-horizontal:center;mso-position-horizontal-relative:margin;mso-position-vertical:center;mso-position-vertical-relative:margin;mso-width-percent:0;mso-height-percent:0" o:allowincell="f">
          <v:imagedata r:id="rId1" o:title="marca de agua"/>
          <w10:wrap anchorx="margin" anchory="margin"/>
        </v:shape>
      </w:pict>
    </w:r>
    <w:r w:rsidR="00C304AC">
      <w:rPr>
        <w:lang w:val="es-ES"/>
      </w:rPr>
      <mc:AlternateContent>
        <mc:Choice Requires="wps">
          <w:drawing>
            <wp:anchor distT="45720" distB="45720" distL="114300" distR="114300" simplePos="0" relativeHeight="251657728" behindDoc="0" locked="0" layoutInCell="1" allowOverlap="1">
              <wp:simplePos x="0" y="0"/>
              <wp:positionH relativeFrom="column">
                <wp:posOffset>-657225</wp:posOffset>
              </wp:positionH>
              <wp:positionV relativeFrom="paragraph">
                <wp:posOffset>1177290</wp:posOffset>
              </wp:positionV>
              <wp:extent cx="346710" cy="8364855"/>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8364855"/>
                      </a:xfrm>
                      <a:prstGeom prst="rect">
                        <a:avLst/>
                      </a:prstGeom>
                      <a:solidFill>
                        <a:srgbClr val="FFFFFF"/>
                      </a:solidFill>
                      <a:ln w="9525">
                        <a:solidFill>
                          <a:srgbClr val="FFFFFF"/>
                        </a:solidFill>
                        <a:miter lim="800000"/>
                        <a:headEnd/>
                        <a:tailEnd/>
                      </a:ln>
                    </wps:spPr>
                    <wps:txbx>
                      <w:txbxContent>
                        <w:p w:rsidR="00FD6B3D" w:rsidRPr="00DB6871" w:rsidRDefault="00FD6B3D" w:rsidP="00DB6871">
                          <w:pPr>
                            <w:jc w:val="center"/>
                            <w:rPr>
                              <w:rFonts w:ascii="Verdana" w:hAnsi="Verdana"/>
                              <w:i/>
                              <w:sz w:val="20"/>
                              <w:szCs w:val="20"/>
                            </w:rPr>
                          </w:pPr>
                          <w:r w:rsidRPr="00DB6871">
                            <w:rPr>
                              <w:rFonts w:ascii="Verdana" w:hAnsi="Verdana"/>
                              <w:i/>
                              <w:sz w:val="20"/>
                              <w:szCs w:val="20"/>
                            </w:rPr>
                            <w:t>CSI•F Unión Autonómica de Galicia</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51.75pt;margin-top:92.7pt;width:27.3pt;height:658.6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" strokecolor="white">
              <v:textbox style="layout-flow:vertical;mso-layout-flow-alt:bottom-to-top;mso-fit-shape-to-text:t">
                <w:txbxContent>
                  <w:p w:rsidR="00FD6B3D" w:rsidRPr="00DB6871" w:rsidRDefault="00FD6B3D" w:rsidP="00DB6871">
                    <w:pPr>
                      <w:jc w:val="center"/>
                      <w:rPr>
                        <w:rFonts w:ascii="Verdana" w:hAnsi="Verdana"/>
                        <w:i/>
                        <w:sz w:val="20"/>
                        <w:szCs w:val="20"/>
                      </w:rPr>
                    </w:pPr>
                    <w:r w:rsidRPr="00DB6871">
                      <w:rPr>
                        <w:rFonts w:ascii="Verdana" w:hAnsi="Verdana"/>
                        <w:i/>
                        <w:sz w:val="20"/>
                        <w:szCs w:val="20"/>
                      </w:rPr>
                      <w:t>CSI•F Unión Autonómica de Galicia</w:t>
                    </w:r>
                  </w:p>
                </w:txbxContent>
              </v:textbox>
              <w10:wrap type="square"/>
            </v:shape>
          </w:pict>
        </mc:Fallback>
      </mc:AlternateContent>
    </w:r>
  </w:p>
  <w:p w:rsidR="00FD6B3D" w:rsidRPr="00C242A2" w:rsidRDefault="00C304AC">
    <w:pPr>
      <w:pStyle w:val="Encabezado"/>
      <w:rPr>
        <w:i/>
        <w:sz w:val="20"/>
        <w:szCs w:val="20"/>
      </w:rPr>
    </w:pPr>
    <w:r>
      <w:rPr>
        <w:lang w:val="es-ES"/>
      </w:rPr>
      <mc:AlternateContent>
        <mc:Choice Requires="wps">
          <w:drawing>
            <wp:anchor distT="0" distB="0" distL="114300" distR="114300" simplePos="0" relativeHeight="251664896" behindDoc="0" locked="0" layoutInCell="1" allowOverlap="1">
              <wp:simplePos x="0" y="0"/>
              <wp:positionH relativeFrom="column">
                <wp:posOffset>3061335</wp:posOffset>
              </wp:positionH>
              <wp:positionV relativeFrom="paragraph">
                <wp:posOffset>43815</wp:posOffset>
              </wp:positionV>
              <wp:extent cx="2933700" cy="5715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571500"/>
                      </a:xfrm>
                      <a:prstGeom prst="rect">
                        <a:avLst/>
                      </a:prstGeom>
                      <a:noFill/>
                      <a:ln>
                        <a:noFill/>
                      </a:ln>
                    </wps:spPr>
                    <wps:txbx>
                      <w:txbxContent>
                        <w:p w:rsidR="00FD6B3D" w:rsidRPr="00441F6F" w:rsidRDefault="00441F6F" w:rsidP="00751FB0">
                          <w:pPr>
                            <w:pStyle w:val="Encabezado"/>
                            <w:jc w:val="center"/>
                            <w:rPr>
                              <w:rFonts w:asciiTheme="minorHAnsi" w:hAnsiTheme="minorHAnsi" w:cstheme="minorHAnsi"/>
                              <w:b/>
                              <w:color w:val="000000" w:themeColor="text1"/>
                              <w:sz w:val="48"/>
                              <w:szCs w:val="48"/>
                              <w:lang w:val="es-ES"/>
                            </w:rPr>
                          </w:pPr>
                          <w:r>
                            <w:rPr>
                              <w:rFonts w:asciiTheme="minorHAnsi" w:hAnsiTheme="minorHAnsi" w:cstheme="minorHAnsi"/>
                              <w:b/>
                              <w:color w:val="000000" w:themeColor="text1"/>
                              <w:sz w:val="48"/>
                              <w:szCs w:val="48"/>
                              <w:lang w:val="es-ES"/>
                            </w:rPr>
                            <w:t>OPE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8" type="#_x0000_t202" style="position:absolute;margin-left:241.05pt;margin-top:3.45pt;width:231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" filled="f" stroked="f">
              <v:path arrowok="t"/>
              <v:textbox>
                <w:txbxContent>
                  <w:p w:rsidR="00FD6B3D" w:rsidRPr="00441F6F" w:rsidRDefault="00441F6F" w:rsidP="00751FB0">
                    <w:pPr>
                      <w:pStyle w:val="Encabezado"/>
                      <w:jc w:val="center"/>
                      <w:rPr>
                        <w:rFonts w:asciiTheme="minorHAnsi" w:hAnsiTheme="minorHAnsi" w:cstheme="minorHAnsi"/>
                        <w:b/>
                        <w:color w:val="000000" w:themeColor="text1"/>
                        <w:sz w:val="48"/>
                        <w:szCs w:val="48"/>
                        <w:lang w:val="es-ES"/>
                      </w:rPr>
                    </w:pPr>
                    <w:r>
                      <w:rPr>
                        <w:rFonts w:asciiTheme="minorHAnsi" w:hAnsiTheme="minorHAnsi" w:cstheme="minorHAnsi"/>
                        <w:b/>
                        <w:color w:val="000000" w:themeColor="text1"/>
                        <w:sz w:val="48"/>
                        <w:szCs w:val="48"/>
                        <w:lang w:val="es-ES"/>
                      </w:rPr>
                      <w:t>OPE 2018</w:t>
                    </w:r>
                  </w:p>
                </w:txbxContent>
              </v:textbox>
            </v:shape>
          </w:pict>
        </mc:Fallback>
      </mc:AlternateContent>
    </w:r>
    <w:r w:rsidR="00FD6B3D">
      <w:rPr>
        <w:lang w:val="es-ES"/>
      </w:rPr>
      <w:drawing>
        <wp:inline distT="0" distB="0" distL="0" distR="0">
          <wp:extent cx="990600" cy="865505"/>
          <wp:effectExtent l="0" t="0" r="0" b="0"/>
          <wp:docPr id="7" name="Imagen 1" descr="logo_csi_-_copia"/>
          <wp:cNvGraphicFramePr/>
          <a:graphic xmlns:a="http://schemas.openxmlformats.org/drawingml/2006/main">
            <a:graphicData uri="http://schemas.openxmlformats.org/drawingml/2006/picture">
              <pic:pic xmlns:pic="http://schemas.openxmlformats.org/drawingml/2006/picture">
                <pic:nvPicPr>
                  <pic:cNvPr id="5" name="Imagen 1" descr="logo_csi_-_copia"/>
                  <pic:cNvPicPr/>
                </pic:nvPicPr>
                <pic:blipFill>
                  <a:blip r:embed="rId2"/>
                  <a:srcRect/>
                  <a:stretch>
                    <a:fillRect/>
                  </a:stretch>
                </pic:blipFill>
                <pic:spPr bwMode="auto">
                  <a:xfrm>
                    <a:off x="0" y="0"/>
                    <a:ext cx="990600" cy="865505"/>
                  </a:xfrm>
                  <a:prstGeom prst="rect">
                    <a:avLst/>
                  </a:prstGeom>
                  <a:noFill/>
                  <a:ln w="9525">
                    <a:noFill/>
                    <a:miter lim="800000"/>
                    <a:headEnd/>
                    <a:tailEnd/>
                  </a:ln>
                </pic:spPr>
              </pic:pic>
            </a:graphicData>
          </a:graphic>
        </wp:inline>
      </w:drawing>
    </w:r>
  </w:p>
  <w:tbl>
    <w:tblPr>
      <w:tblW w:w="5086" w:type="pct"/>
      <w:tblCellMar>
        <w:top w:w="72" w:type="dxa"/>
        <w:left w:w="115" w:type="dxa"/>
        <w:bottom w:w="72" w:type="dxa"/>
        <w:right w:w="115" w:type="dxa"/>
      </w:tblCellMar>
      <w:tblLook w:val="04A0" w:firstRow="1" w:lastRow="0" w:firstColumn="1" w:lastColumn="0" w:noHBand="0" w:noVBand="1"/>
    </w:tblPr>
    <w:tblGrid>
      <w:gridCol w:w="7588"/>
      <w:gridCol w:w="2216"/>
    </w:tblGrid>
    <w:tr w:rsidR="00FD6B3D" w:rsidTr="004007E5">
      <w:tc>
        <w:tcPr>
          <w:tcW w:w="3870" w:type="pct"/>
          <w:tcBorders>
            <w:top w:val="nil"/>
            <w:left w:val="nil"/>
            <w:bottom w:val="single" w:sz="4" w:space="0" w:color="auto"/>
            <w:right w:val="nil"/>
          </w:tcBorders>
          <w:vAlign w:val="bottom"/>
          <w:hideMark/>
        </w:tcPr>
        <w:p w:rsidR="00FD6B3D" w:rsidRPr="004007E5" w:rsidRDefault="00FD6B3D" w:rsidP="004007E5">
          <w:pPr>
            <w:pStyle w:val="Encabezado"/>
            <w:rPr>
              <w:rFonts w:asciiTheme="minorHAnsi" w:hAnsiTheme="minorHAnsi" w:cstheme="minorHAnsi"/>
              <w:bCs/>
              <w:color w:val="76923C"/>
              <w:sz w:val="36"/>
              <w:szCs w:val="36"/>
              <w:lang w:val="es-ES"/>
            </w:rPr>
          </w:pPr>
          <w:r>
            <w:rPr>
              <w:rFonts w:asciiTheme="minorHAnsi" w:hAnsiTheme="minorHAnsi" w:cstheme="minorHAnsi"/>
              <w:b/>
              <w:sz w:val="36"/>
              <w:szCs w:val="36"/>
            </w:rPr>
            <w:t>Alegac</w:t>
          </w:r>
          <w:r w:rsidR="003868E9">
            <w:rPr>
              <w:rFonts w:asciiTheme="minorHAnsi" w:hAnsiTheme="minorHAnsi" w:cstheme="minorHAnsi"/>
              <w:b/>
              <w:sz w:val="36"/>
              <w:szCs w:val="36"/>
            </w:rPr>
            <w:t>iones de CSIF a la OPE 2018</w:t>
          </w:r>
        </w:p>
      </w:tc>
      <w:tc>
        <w:tcPr>
          <w:tcW w:w="1130" w:type="pct"/>
          <w:tcBorders>
            <w:top w:val="nil"/>
            <w:left w:val="nil"/>
            <w:bottom w:val="single" w:sz="4" w:space="0" w:color="943634"/>
            <w:right w:val="nil"/>
          </w:tcBorders>
          <w:shd w:val="clear" w:color="auto" w:fill="943634"/>
          <w:vAlign w:val="center"/>
          <w:hideMark/>
        </w:tcPr>
        <w:p w:rsidR="00FD6B3D" w:rsidRPr="004007E5" w:rsidRDefault="008C376B" w:rsidP="004007E5">
          <w:pPr>
            <w:pStyle w:val="Encabezado"/>
            <w:jc w:val="center"/>
            <w:rPr>
              <w:noProof w:val="0"/>
              <w:color w:val="FFFFFF"/>
              <w:sz w:val="26"/>
              <w:szCs w:val="26"/>
            </w:rPr>
          </w:pPr>
          <w:r>
            <w:rPr>
              <w:color w:val="FFFFFF"/>
              <w:sz w:val="26"/>
              <w:szCs w:val="26"/>
            </w:rPr>
            <w:t xml:space="preserve">30 </w:t>
          </w:r>
          <w:r w:rsidR="004E3DF2">
            <w:rPr>
              <w:color w:val="FFFFFF"/>
              <w:sz w:val="26"/>
              <w:szCs w:val="26"/>
            </w:rPr>
            <w:t>NOVIEMBRE</w:t>
          </w:r>
          <w:r w:rsidR="00FD6B3D" w:rsidRPr="004007E5">
            <w:rPr>
              <w:color w:val="FFFFFF"/>
              <w:sz w:val="26"/>
              <w:szCs w:val="26"/>
            </w:rPr>
            <w:t xml:space="preserve"> 2018</w:t>
          </w:r>
        </w:p>
      </w:tc>
    </w:tr>
  </w:tbl>
  <w:p w:rsidR="00FD6B3D" w:rsidRPr="00751FB0" w:rsidRDefault="00FD6B3D" w:rsidP="00751FB0">
    <w:pPr>
      <w:jc w:val="right"/>
      <w:rPr>
        <w:rFonts w:ascii="Calibri" w:eastAsia="Calibri" w:hAnsi="Calibri"/>
        <w:b/>
        <w:i/>
        <w:noProof w:val="0"/>
        <w:sz w:val="20"/>
        <w:szCs w:val="20"/>
        <w:lang w:val="es-ES" w:eastAsia="en-US"/>
      </w:rPr>
    </w:pPr>
    <w:r w:rsidRPr="00751FB0">
      <w:rPr>
        <w:rFonts w:ascii="Calibri" w:eastAsia="Calibri" w:hAnsi="Calibri"/>
        <w:b/>
        <w:i/>
        <w:noProof w:val="0"/>
        <w:sz w:val="20"/>
        <w:szCs w:val="20"/>
        <w:lang w:val="es-ES" w:eastAsia="en-US"/>
      </w:rPr>
      <w:t>SECTOR DE ADMINISTRACIÓN GENERAL DE CSIF</w:t>
    </w:r>
  </w:p>
  <w:p w:rsidR="00FD6B3D" w:rsidRPr="00C242A2" w:rsidRDefault="00FD6B3D" w:rsidP="00751FB0">
    <w:pPr>
      <w:pStyle w:val="Encabezado"/>
      <w:jc w:val="right"/>
      <w:rPr>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B3D" w:rsidRDefault="002F260D">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5526" o:spid="_x0000_s2049" type="#_x0000_t75" alt="marca de agua" style="position:absolute;margin-left:0;margin-top:0;width:453.25pt;height:418.65pt;z-index:-251657728;mso-wrap-edited:f;mso-width-percent:0;mso-height-percent:0;mso-position-horizontal:center;mso-position-horizontal-relative:margin;mso-position-vertical:center;mso-position-vertical-relative:margin;mso-width-percent:0;mso-height-percent:0" o:allowincell="f">
          <v:imagedata r:id="rId1" o:title="marca de agua"/>
          <w10:wrap anchorx="margin" anchory="margin"/>
        </v:shape>
      </w:pict>
    </w:r>
    <w:r w:rsidR="00FD6B3D">
      <w:rPr>
        <w:lang w:val="es-ES"/>
      </w:rPr>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6169025" cy="5711190"/>
          <wp:effectExtent l="0" t="0" r="3175" b="3810"/>
          <wp:wrapNone/>
          <wp:docPr id="13" name="Imagen 13" descr="narcade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arcadeagua"/>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69025" cy="57111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27F8"/>
    <w:multiLevelType w:val="hybridMultilevel"/>
    <w:tmpl w:val="5FE2B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0B6C4A"/>
    <w:multiLevelType w:val="hybridMultilevel"/>
    <w:tmpl w:val="250831A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15:restartNumberingAfterBreak="0">
    <w:nsid w:val="16573FF1"/>
    <w:multiLevelType w:val="hybridMultilevel"/>
    <w:tmpl w:val="7FAA2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C95269"/>
    <w:multiLevelType w:val="hybridMultilevel"/>
    <w:tmpl w:val="D3C4A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A179B9"/>
    <w:multiLevelType w:val="hybridMultilevel"/>
    <w:tmpl w:val="FDF072C8"/>
    <w:lvl w:ilvl="0" w:tplc="0C0A0017">
      <w:start w:val="1"/>
      <w:numFmt w:val="lowerLetter"/>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5" w15:restartNumberingAfterBreak="0">
    <w:nsid w:val="4C0E02EB"/>
    <w:multiLevelType w:val="hybridMultilevel"/>
    <w:tmpl w:val="336E7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1846CAB"/>
    <w:multiLevelType w:val="hybridMultilevel"/>
    <w:tmpl w:val="45F8B3CA"/>
    <w:lvl w:ilvl="0" w:tplc="D826EC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5DE5C9D"/>
    <w:multiLevelType w:val="multilevel"/>
    <w:tmpl w:val="5F20AC8C"/>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A4F41A8"/>
    <w:multiLevelType w:val="hybridMultilevel"/>
    <w:tmpl w:val="01C08088"/>
    <w:lvl w:ilvl="0" w:tplc="D826EC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8D75A08"/>
    <w:multiLevelType w:val="hybridMultilevel"/>
    <w:tmpl w:val="16A87F8E"/>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6D0076AA"/>
    <w:multiLevelType w:val="hybridMultilevel"/>
    <w:tmpl w:val="CBBA4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FD01BA4"/>
    <w:multiLevelType w:val="hybridMultilevel"/>
    <w:tmpl w:val="CF7668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2"/>
  </w:num>
  <w:num w:numId="5">
    <w:abstractNumId w:val="10"/>
  </w:num>
  <w:num w:numId="6">
    <w:abstractNumId w:val="1"/>
  </w:num>
  <w:num w:numId="7">
    <w:abstractNumId w:val="11"/>
  </w:num>
  <w:num w:numId="8">
    <w:abstractNumId w:val="4"/>
  </w:num>
  <w:num w:numId="9">
    <w:abstractNumId w:val="6"/>
  </w:num>
  <w:num w:numId="10">
    <w:abstractNumId w:val="8"/>
  </w:num>
  <w:num w:numId="11">
    <w:abstractNumId w:val="3"/>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DFF"/>
    <w:rsid w:val="0000223B"/>
    <w:rsid w:val="00002717"/>
    <w:rsid w:val="00002AB2"/>
    <w:rsid w:val="0000420B"/>
    <w:rsid w:val="0000428D"/>
    <w:rsid w:val="000051C6"/>
    <w:rsid w:val="000135BA"/>
    <w:rsid w:val="00014A21"/>
    <w:rsid w:val="00016F53"/>
    <w:rsid w:val="0002437C"/>
    <w:rsid w:val="00024A24"/>
    <w:rsid w:val="000355E5"/>
    <w:rsid w:val="0004435C"/>
    <w:rsid w:val="00044371"/>
    <w:rsid w:val="00045D9D"/>
    <w:rsid w:val="00046B17"/>
    <w:rsid w:val="00046EF6"/>
    <w:rsid w:val="000478E8"/>
    <w:rsid w:val="00051161"/>
    <w:rsid w:val="00051B7E"/>
    <w:rsid w:val="00052BD0"/>
    <w:rsid w:val="00052D4A"/>
    <w:rsid w:val="00052FFD"/>
    <w:rsid w:val="00056FE6"/>
    <w:rsid w:val="00057736"/>
    <w:rsid w:val="00060765"/>
    <w:rsid w:val="00062379"/>
    <w:rsid w:val="0006359A"/>
    <w:rsid w:val="00064002"/>
    <w:rsid w:val="00065F3B"/>
    <w:rsid w:val="00066C3A"/>
    <w:rsid w:val="000715C0"/>
    <w:rsid w:val="00074F74"/>
    <w:rsid w:val="00075312"/>
    <w:rsid w:val="00076903"/>
    <w:rsid w:val="00081C7A"/>
    <w:rsid w:val="0008268B"/>
    <w:rsid w:val="00087C8F"/>
    <w:rsid w:val="00091B81"/>
    <w:rsid w:val="00091DD6"/>
    <w:rsid w:val="000933E0"/>
    <w:rsid w:val="00094CFD"/>
    <w:rsid w:val="000A37C9"/>
    <w:rsid w:val="000A449B"/>
    <w:rsid w:val="000A595E"/>
    <w:rsid w:val="000B140D"/>
    <w:rsid w:val="000B29F6"/>
    <w:rsid w:val="000B3648"/>
    <w:rsid w:val="000B3DB1"/>
    <w:rsid w:val="000B3EC9"/>
    <w:rsid w:val="000B6488"/>
    <w:rsid w:val="000B7955"/>
    <w:rsid w:val="000C4D35"/>
    <w:rsid w:val="000C54CA"/>
    <w:rsid w:val="000C7244"/>
    <w:rsid w:val="000D0CA0"/>
    <w:rsid w:val="000D2130"/>
    <w:rsid w:val="000D46AC"/>
    <w:rsid w:val="000E2432"/>
    <w:rsid w:val="000E4872"/>
    <w:rsid w:val="000E7FD7"/>
    <w:rsid w:val="000F0778"/>
    <w:rsid w:val="000F14F8"/>
    <w:rsid w:val="000F16A7"/>
    <w:rsid w:val="000F1CED"/>
    <w:rsid w:val="000F2515"/>
    <w:rsid w:val="000F2A45"/>
    <w:rsid w:val="000F40AD"/>
    <w:rsid w:val="000F49B1"/>
    <w:rsid w:val="000F5E94"/>
    <w:rsid w:val="00101C78"/>
    <w:rsid w:val="00103857"/>
    <w:rsid w:val="00103A62"/>
    <w:rsid w:val="0010601B"/>
    <w:rsid w:val="001119D1"/>
    <w:rsid w:val="0011334C"/>
    <w:rsid w:val="001139BC"/>
    <w:rsid w:val="00113B32"/>
    <w:rsid w:val="00115B7B"/>
    <w:rsid w:val="001169E9"/>
    <w:rsid w:val="00117C4B"/>
    <w:rsid w:val="00122B39"/>
    <w:rsid w:val="00123812"/>
    <w:rsid w:val="00126B02"/>
    <w:rsid w:val="00131D71"/>
    <w:rsid w:val="00132A6F"/>
    <w:rsid w:val="00140A2A"/>
    <w:rsid w:val="00140C37"/>
    <w:rsid w:val="001421D9"/>
    <w:rsid w:val="00144183"/>
    <w:rsid w:val="001450E2"/>
    <w:rsid w:val="0014750B"/>
    <w:rsid w:val="00151A17"/>
    <w:rsid w:val="00156432"/>
    <w:rsid w:val="00160D75"/>
    <w:rsid w:val="0016225B"/>
    <w:rsid w:val="00162E11"/>
    <w:rsid w:val="00165766"/>
    <w:rsid w:val="00165F75"/>
    <w:rsid w:val="0017114F"/>
    <w:rsid w:val="00175C30"/>
    <w:rsid w:val="00175D71"/>
    <w:rsid w:val="00176945"/>
    <w:rsid w:val="001816BD"/>
    <w:rsid w:val="00183E52"/>
    <w:rsid w:val="00186744"/>
    <w:rsid w:val="00191687"/>
    <w:rsid w:val="00192191"/>
    <w:rsid w:val="00192D2A"/>
    <w:rsid w:val="00193AE0"/>
    <w:rsid w:val="00193EDD"/>
    <w:rsid w:val="00193EEB"/>
    <w:rsid w:val="001943C2"/>
    <w:rsid w:val="001956CF"/>
    <w:rsid w:val="00195DA2"/>
    <w:rsid w:val="0019703C"/>
    <w:rsid w:val="001970CF"/>
    <w:rsid w:val="001A1956"/>
    <w:rsid w:val="001A7169"/>
    <w:rsid w:val="001B0D4C"/>
    <w:rsid w:val="001B5B26"/>
    <w:rsid w:val="001C3B0B"/>
    <w:rsid w:val="001C5DA9"/>
    <w:rsid w:val="001C5EFC"/>
    <w:rsid w:val="001C6748"/>
    <w:rsid w:val="001C70A9"/>
    <w:rsid w:val="001C770D"/>
    <w:rsid w:val="001D540B"/>
    <w:rsid w:val="001D5767"/>
    <w:rsid w:val="001D59AB"/>
    <w:rsid w:val="001D6CE5"/>
    <w:rsid w:val="001D6CFC"/>
    <w:rsid w:val="001E112C"/>
    <w:rsid w:val="001E6793"/>
    <w:rsid w:val="001E6AF6"/>
    <w:rsid w:val="001E7832"/>
    <w:rsid w:val="001F1C61"/>
    <w:rsid w:val="001F4CBD"/>
    <w:rsid w:val="001F5CD5"/>
    <w:rsid w:val="001F6597"/>
    <w:rsid w:val="00200345"/>
    <w:rsid w:val="002024FF"/>
    <w:rsid w:val="00203A42"/>
    <w:rsid w:val="00204293"/>
    <w:rsid w:val="002048D4"/>
    <w:rsid w:val="00204D0E"/>
    <w:rsid w:val="002054EB"/>
    <w:rsid w:val="002073EE"/>
    <w:rsid w:val="00212DEE"/>
    <w:rsid w:val="002157BE"/>
    <w:rsid w:val="00217A60"/>
    <w:rsid w:val="00221B25"/>
    <w:rsid w:val="00221F51"/>
    <w:rsid w:val="002245AA"/>
    <w:rsid w:val="002308FE"/>
    <w:rsid w:val="00232744"/>
    <w:rsid w:val="00234CCA"/>
    <w:rsid w:val="0024103C"/>
    <w:rsid w:val="00242ED6"/>
    <w:rsid w:val="002436B6"/>
    <w:rsid w:val="0024794F"/>
    <w:rsid w:val="00247D23"/>
    <w:rsid w:val="002502D5"/>
    <w:rsid w:val="002522E9"/>
    <w:rsid w:val="0025348E"/>
    <w:rsid w:val="0025377E"/>
    <w:rsid w:val="00254DE6"/>
    <w:rsid w:val="002575C8"/>
    <w:rsid w:val="00260293"/>
    <w:rsid w:val="00265279"/>
    <w:rsid w:val="002653D8"/>
    <w:rsid w:val="0026587D"/>
    <w:rsid w:val="002673D8"/>
    <w:rsid w:val="00270B8F"/>
    <w:rsid w:val="002717A5"/>
    <w:rsid w:val="00272766"/>
    <w:rsid w:val="00275946"/>
    <w:rsid w:val="00276B84"/>
    <w:rsid w:val="00276C95"/>
    <w:rsid w:val="00277D4A"/>
    <w:rsid w:val="0028684D"/>
    <w:rsid w:val="00287A13"/>
    <w:rsid w:val="00291599"/>
    <w:rsid w:val="002955EC"/>
    <w:rsid w:val="002A1340"/>
    <w:rsid w:val="002A35B6"/>
    <w:rsid w:val="002A377D"/>
    <w:rsid w:val="002A3E87"/>
    <w:rsid w:val="002B5D92"/>
    <w:rsid w:val="002B6EC6"/>
    <w:rsid w:val="002C36F8"/>
    <w:rsid w:val="002C711C"/>
    <w:rsid w:val="002D1EAA"/>
    <w:rsid w:val="002D3E16"/>
    <w:rsid w:val="002E1519"/>
    <w:rsid w:val="002E60C2"/>
    <w:rsid w:val="002F056E"/>
    <w:rsid w:val="002F1366"/>
    <w:rsid w:val="002F260D"/>
    <w:rsid w:val="002F53DB"/>
    <w:rsid w:val="002F71C9"/>
    <w:rsid w:val="00301888"/>
    <w:rsid w:val="003041D8"/>
    <w:rsid w:val="0030532D"/>
    <w:rsid w:val="003107D8"/>
    <w:rsid w:val="003131FA"/>
    <w:rsid w:val="00317F2C"/>
    <w:rsid w:val="00320B71"/>
    <w:rsid w:val="00323998"/>
    <w:rsid w:val="003240FC"/>
    <w:rsid w:val="003255FB"/>
    <w:rsid w:val="00325860"/>
    <w:rsid w:val="0032778D"/>
    <w:rsid w:val="00333563"/>
    <w:rsid w:val="00336763"/>
    <w:rsid w:val="00342338"/>
    <w:rsid w:val="003428A2"/>
    <w:rsid w:val="00344896"/>
    <w:rsid w:val="00346541"/>
    <w:rsid w:val="00351D75"/>
    <w:rsid w:val="00356170"/>
    <w:rsid w:val="00360FAA"/>
    <w:rsid w:val="00366A20"/>
    <w:rsid w:val="00371DDE"/>
    <w:rsid w:val="00373FD2"/>
    <w:rsid w:val="0037677B"/>
    <w:rsid w:val="00380AA5"/>
    <w:rsid w:val="003868E9"/>
    <w:rsid w:val="00386B75"/>
    <w:rsid w:val="00387F7F"/>
    <w:rsid w:val="00390C58"/>
    <w:rsid w:val="00390CB7"/>
    <w:rsid w:val="00390E00"/>
    <w:rsid w:val="00392BE5"/>
    <w:rsid w:val="00393DFF"/>
    <w:rsid w:val="00396605"/>
    <w:rsid w:val="0039758A"/>
    <w:rsid w:val="003A0C94"/>
    <w:rsid w:val="003A0F27"/>
    <w:rsid w:val="003A16E3"/>
    <w:rsid w:val="003A3E53"/>
    <w:rsid w:val="003A5729"/>
    <w:rsid w:val="003A7A1D"/>
    <w:rsid w:val="003B33DE"/>
    <w:rsid w:val="003B3F15"/>
    <w:rsid w:val="003B57DC"/>
    <w:rsid w:val="003C213E"/>
    <w:rsid w:val="003D0454"/>
    <w:rsid w:val="003D057D"/>
    <w:rsid w:val="003D2C1F"/>
    <w:rsid w:val="003D349A"/>
    <w:rsid w:val="003D49AE"/>
    <w:rsid w:val="003E0299"/>
    <w:rsid w:val="003E280E"/>
    <w:rsid w:val="003E2AD6"/>
    <w:rsid w:val="003E5B03"/>
    <w:rsid w:val="003E6DF2"/>
    <w:rsid w:val="003F310C"/>
    <w:rsid w:val="003F6577"/>
    <w:rsid w:val="003F6C4E"/>
    <w:rsid w:val="003F6C98"/>
    <w:rsid w:val="004007E5"/>
    <w:rsid w:val="004033F4"/>
    <w:rsid w:val="00405639"/>
    <w:rsid w:val="0040665F"/>
    <w:rsid w:val="00407053"/>
    <w:rsid w:val="00407B03"/>
    <w:rsid w:val="0041314E"/>
    <w:rsid w:val="00414AF1"/>
    <w:rsid w:val="0041539D"/>
    <w:rsid w:val="004218E0"/>
    <w:rsid w:val="00422288"/>
    <w:rsid w:val="004224B4"/>
    <w:rsid w:val="004235E0"/>
    <w:rsid w:val="00423713"/>
    <w:rsid w:val="004255E5"/>
    <w:rsid w:val="004260C7"/>
    <w:rsid w:val="00427C66"/>
    <w:rsid w:val="00430BD8"/>
    <w:rsid w:val="00441B17"/>
    <w:rsid w:val="00441F6F"/>
    <w:rsid w:val="0044429B"/>
    <w:rsid w:val="0044743E"/>
    <w:rsid w:val="00450DA7"/>
    <w:rsid w:val="00455B48"/>
    <w:rsid w:val="00455DB4"/>
    <w:rsid w:val="0045618E"/>
    <w:rsid w:val="00457FD6"/>
    <w:rsid w:val="0046060D"/>
    <w:rsid w:val="00463CA7"/>
    <w:rsid w:val="00466A88"/>
    <w:rsid w:val="00471956"/>
    <w:rsid w:val="004719ED"/>
    <w:rsid w:val="00471FEF"/>
    <w:rsid w:val="00474EF4"/>
    <w:rsid w:val="0047683A"/>
    <w:rsid w:val="00481153"/>
    <w:rsid w:val="00481FAB"/>
    <w:rsid w:val="0048518A"/>
    <w:rsid w:val="00486C9D"/>
    <w:rsid w:val="00487638"/>
    <w:rsid w:val="00490761"/>
    <w:rsid w:val="00492443"/>
    <w:rsid w:val="00493EFD"/>
    <w:rsid w:val="00494443"/>
    <w:rsid w:val="00494ACC"/>
    <w:rsid w:val="0049608F"/>
    <w:rsid w:val="004963F0"/>
    <w:rsid w:val="00496571"/>
    <w:rsid w:val="0049723A"/>
    <w:rsid w:val="00497928"/>
    <w:rsid w:val="00497F53"/>
    <w:rsid w:val="004A0AE0"/>
    <w:rsid w:val="004A1492"/>
    <w:rsid w:val="004A2450"/>
    <w:rsid w:val="004A3BBF"/>
    <w:rsid w:val="004A4736"/>
    <w:rsid w:val="004A47E4"/>
    <w:rsid w:val="004A57A6"/>
    <w:rsid w:val="004A60A1"/>
    <w:rsid w:val="004A6733"/>
    <w:rsid w:val="004B3C6C"/>
    <w:rsid w:val="004B3DBB"/>
    <w:rsid w:val="004B6F34"/>
    <w:rsid w:val="004C588F"/>
    <w:rsid w:val="004C630A"/>
    <w:rsid w:val="004C755D"/>
    <w:rsid w:val="004C7916"/>
    <w:rsid w:val="004C7C10"/>
    <w:rsid w:val="004D1170"/>
    <w:rsid w:val="004D185C"/>
    <w:rsid w:val="004D26FC"/>
    <w:rsid w:val="004D3ACC"/>
    <w:rsid w:val="004D5BEA"/>
    <w:rsid w:val="004E2286"/>
    <w:rsid w:val="004E3DF2"/>
    <w:rsid w:val="004E4A3A"/>
    <w:rsid w:val="004E59F7"/>
    <w:rsid w:val="004F03B5"/>
    <w:rsid w:val="004F0F9E"/>
    <w:rsid w:val="004F17C1"/>
    <w:rsid w:val="004F2573"/>
    <w:rsid w:val="004F3EFB"/>
    <w:rsid w:val="004F490A"/>
    <w:rsid w:val="004F5D37"/>
    <w:rsid w:val="0050003E"/>
    <w:rsid w:val="00501E52"/>
    <w:rsid w:val="005029EF"/>
    <w:rsid w:val="005033C2"/>
    <w:rsid w:val="00505E19"/>
    <w:rsid w:val="00506600"/>
    <w:rsid w:val="005073FE"/>
    <w:rsid w:val="00510895"/>
    <w:rsid w:val="00516AE6"/>
    <w:rsid w:val="00520A83"/>
    <w:rsid w:val="005308D1"/>
    <w:rsid w:val="00532D1A"/>
    <w:rsid w:val="00533CD8"/>
    <w:rsid w:val="0053440E"/>
    <w:rsid w:val="00534D76"/>
    <w:rsid w:val="00542471"/>
    <w:rsid w:val="00544163"/>
    <w:rsid w:val="00544692"/>
    <w:rsid w:val="00547947"/>
    <w:rsid w:val="00550002"/>
    <w:rsid w:val="00553EBE"/>
    <w:rsid w:val="0055414A"/>
    <w:rsid w:val="00554EB1"/>
    <w:rsid w:val="00561D41"/>
    <w:rsid w:val="00563693"/>
    <w:rsid w:val="005652F7"/>
    <w:rsid w:val="005838F0"/>
    <w:rsid w:val="005840B9"/>
    <w:rsid w:val="00585732"/>
    <w:rsid w:val="00590B43"/>
    <w:rsid w:val="00592E51"/>
    <w:rsid w:val="005966BD"/>
    <w:rsid w:val="00596FAF"/>
    <w:rsid w:val="005971BC"/>
    <w:rsid w:val="0059742C"/>
    <w:rsid w:val="00597497"/>
    <w:rsid w:val="00597EC6"/>
    <w:rsid w:val="005A30D4"/>
    <w:rsid w:val="005A50FA"/>
    <w:rsid w:val="005B1A6C"/>
    <w:rsid w:val="005B409E"/>
    <w:rsid w:val="005B49C0"/>
    <w:rsid w:val="005B51AB"/>
    <w:rsid w:val="005C10C9"/>
    <w:rsid w:val="005C2DE8"/>
    <w:rsid w:val="005C385D"/>
    <w:rsid w:val="005C6AA5"/>
    <w:rsid w:val="005D129A"/>
    <w:rsid w:val="005D5BC6"/>
    <w:rsid w:val="005D79CF"/>
    <w:rsid w:val="005E18FB"/>
    <w:rsid w:val="005E46D9"/>
    <w:rsid w:val="005E4905"/>
    <w:rsid w:val="005E4EF9"/>
    <w:rsid w:val="005E7981"/>
    <w:rsid w:val="005F1BCC"/>
    <w:rsid w:val="005F2778"/>
    <w:rsid w:val="005F3A1D"/>
    <w:rsid w:val="005F688E"/>
    <w:rsid w:val="005F6B09"/>
    <w:rsid w:val="00601942"/>
    <w:rsid w:val="006055EC"/>
    <w:rsid w:val="0061135C"/>
    <w:rsid w:val="006118A1"/>
    <w:rsid w:val="00612E84"/>
    <w:rsid w:val="00614BF5"/>
    <w:rsid w:val="00615E39"/>
    <w:rsid w:val="0062194B"/>
    <w:rsid w:val="00621D08"/>
    <w:rsid w:val="00627775"/>
    <w:rsid w:val="00632A76"/>
    <w:rsid w:val="00632B7A"/>
    <w:rsid w:val="006338F3"/>
    <w:rsid w:val="00634632"/>
    <w:rsid w:val="00635DFF"/>
    <w:rsid w:val="00637A4B"/>
    <w:rsid w:val="0064127A"/>
    <w:rsid w:val="006423DB"/>
    <w:rsid w:val="00642786"/>
    <w:rsid w:val="00644302"/>
    <w:rsid w:val="006465E3"/>
    <w:rsid w:val="00650981"/>
    <w:rsid w:val="00650CD5"/>
    <w:rsid w:val="00652780"/>
    <w:rsid w:val="0065287E"/>
    <w:rsid w:val="006529E0"/>
    <w:rsid w:val="006572EC"/>
    <w:rsid w:val="00657A27"/>
    <w:rsid w:val="0066179F"/>
    <w:rsid w:val="006624B2"/>
    <w:rsid w:val="00670C2B"/>
    <w:rsid w:val="0067466C"/>
    <w:rsid w:val="00674ABC"/>
    <w:rsid w:val="00677809"/>
    <w:rsid w:val="00680B89"/>
    <w:rsid w:val="00680CAF"/>
    <w:rsid w:val="0068677A"/>
    <w:rsid w:val="00691F27"/>
    <w:rsid w:val="0069378D"/>
    <w:rsid w:val="006943AF"/>
    <w:rsid w:val="00695F26"/>
    <w:rsid w:val="00696980"/>
    <w:rsid w:val="006A1EE2"/>
    <w:rsid w:val="006A4904"/>
    <w:rsid w:val="006A7515"/>
    <w:rsid w:val="006B03DA"/>
    <w:rsid w:val="006B03DF"/>
    <w:rsid w:val="006B22C7"/>
    <w:rsid w:val="006B2FF8"/>
    <w:rsid w:val="006B5E29"/>
    <w:rsid w:val="006B60F3"/>
    <w:rsid w:val="006B7476"/>
    <w:rsid w:val="006C0B24"/>
    <w:rsid w:val="006C2533"/>
    <w:rsid w:val="006C2C5A"/>
    <w:rsid w:val="006C5FFF"/>
    <w:rsid w:val="006C7CE7"/>
    <w:rsid w:val="006C7E54"/>
    <w:rsid w:val="006D0118"/>
    <w:rsid w:val="006D28DA"/>
    <w:rsid w:val="006D2DE5"/>
    <w:rsid w:val="006D6081"/>
    <w:rsid w:val="006D726C"/>
    <w:rsid w:val="006E3903"/>
    <w:rsid w:val="006F1144"/>
    <w:rsid w:val="006F126F"/>
    <w:rsid w:val="006F4342"/>
    <w:rsid w:val="006F7D03"/>
    <w:rsid w:val="007010AC"/>
    <w:rsid w:val="00707F8C"/>
    <w:rsid w:val="00710020"/>
    <w:rsid w:val="0071065E"/>
    <w:rsid w:val="0071153B"/>
    <w:rsid w:val="00713ADA"/>
    <w:rsid w:val="00714F87"/>
    <w:rsid w:val="007156FD"/>
    <w:rsid w:val="00715AF3"/>
    <w:rsid w:val="00716EBA"/>
    <w:rsid w:val="00717398"/>
    <w:rsid w:val="00717BA0"/>
    <w:rsid w:val="0072073F"/>
    <w:rsid w:val="00720EB1"/>
    <w:rsid w:val="007220EA"/>
    <w:rsid w:val="00724CC6"/>
    <w:rsid w:val="00724D82"/>
    <w:rsid w:val="007253F3"/>
    <w:rsid w:val="00726237"/>
    <w:rsid w:val="007268B2"/>
    <w:rsid w:val="00741B78"/>
    <w:rsid w:val="007448BA"/>
    <w:rsid w:val="007505F8"/>
    <w:rsid w:val="007516D0"/>
    <w:rsid w:val="00751FB0"/>
    <w:rsid w:val="0075344E"/>
    <w:rsid w:val="00755F51"/>
    <w:rsid w:val="00762B30"/>
    <w:rsid w:val="00764057"/>
    <w:rsid w:val="00765BE6"/>
    <w:rsid w:val="007672E2"/>
    <w:rsid w:val="00771219"/>
    <w:rsid w:val="00771E27"/>
    <w:rsid w:val="00771E40"/>
    <w:rsid w:val="00772354"/>
    <w:rsid w:val="00773F0B"/>
    <w:rsid w:val="00777E0A"/>
    <w:rsid w:val="007818A0"/>
    <w:rsid w:val="00785837"/>
    <w:rsid w:val="0078737F"/>
    <w:rsid w:val="00793330"/>
    <w:rsid w:val="007937F6"/>
    <w:rsid w:val="00794727"/>
    <w:rsid w:val="007963E5"/>
    <w:rsid w:val="00797FDB"/>
    <w:rsid w:val="007A4B33"/>
    <w:rsid w:val="007A5B5A"/>
    <w:rsid w:val="007A6EF5"/>
    <w:rsid w:val="007A720D"/>
    <w:rsid w:val="007B09F3"/>
    <w:rsid w:val="007B2769"/>
    <w:rsid w:val="007D006F"/>
    <w:rsid w:val="007D340C"/>
    <w:rsid w:val="007D6521"/>
    <w:rsid w:val="007E03F2"/>
    <w:rsid w:val="007E49A7"/>
    <w:rsid w:val="007E6AD1"/>
    <w:rsid w:val="007F2C95"/>
    <w:rsid w:val="007F3AE9"/>
    <w:rsid w:val="007F5E06"/>
    <w:rsid w:val="007F7E63"/>
    <w:rsid w:val="008027A0"/>
    <w:rsid w:val="00812E95"/>
    <w:rsid w:val="0081421C"/>
    <w:rsid w:val="00817168"/>
    <w:rsid w:val="008179D0"/>
    <w:rsid w:val="008204C2"/>
    <w:rsid w:val="00823EF0"/>
    <w:rsid w:val="008243D4"/>
    <w:rsid w:val="00824496"/>
    <w:rsid w:val="00824E6C"/>
    <w:rsid w:val="00833D22"/>
    <w:rsid w:val="0083453B"/>
    <w:rsid w:val="00834E11"/>
    <w:rsid w:val="00835EDB"/>
    <w:rsid w:val="008371F7"/>
    <w:rsid w:val="00841404"/>
    <w:rsid w:val="00841ED4"/>
    <w:rsid w:val="008440D7"/>
    <w:rsid w:val="00846719"/>
    <w:rsid w:val="008550A4"/>
    <w:rsid w:val="008607F2"/>
    <w:rsid w:val="00861890"/>
    <w:rsid w:val="008660B2"/>
    <w:rsid w:val="00866526"/>
    <w:rsid w:val="00866DE2"/>
    <w:rsid w:val="008701C0"/>
    <w:rsid w:val="00870AA1"/>
    <w:rsid w:val="008713F0"/>
    <w:rsid w:val="00873CE6"/>
    <w:rsid w:val="00874C07"/>
    <w:rsid w:val="00875940"/>
    <w:rsid w:val="0087769E"/>
    <w:rsid w:val="00892B08"/>
    <w:rsid w:val="00894848"/>
    <w:rsid w:val="00895450"/>
    <w:rsid w:val="00896474"/>
    <w:rsid w:val="00896D08"/>
    <w:rsid w:val="008A4117"/>
    <w:rsid w:val="008A4198"/>
    <w:rsid w:val="008B0AF8"/>
    <w:rsid w:val="008B2306"/>
    <w:rsid w:val="008B3723"/>
    <w:rsid w:val="008B4984"/>
    <w:rsid w:val="008B6178"/>
    <w:rsid w:val="008B6CFF"/>
    <w:rsid w:val="008C0168"/>
    <w:rsid w:val="008C0B92"/>
    <w:rsid w:val="008C1019"/>
    <w:rsid w:val="008C376B"/>
    <w:rsid w:val="008C52F5"/>
    <w:rsid w:val="008D00C4"/>
    <w:rsid w:val="008D01A1"/>
    <w:rsid w:val="008D0F35"/>
    <w:rsid w:val="008D1E13"/>
    <w:rsid w:val="008D2243"/>
    <w:rsid w:val="008D2836"/>
    <w:rsid w:val="008D437C"/>
    <w:rsid w:val="008D447B"/>
    <w:rsid w:val="008D68F3"/>
    <w:rsid w:val="008D70DF"/>
    <w:rsid w:val="008E1C53"/>
    <w:rsid w:val="008E33F0"/>
    <w:rsid w:val="008E47E3"/>
    <w:rsid w:val="008E7AFD"/>
    <w:rsid w:val="008E7ED8"/>
    <w:rsid w:val="008F100C"/>
    <w:rsid w:val="008F26F7"/>
    <w:rsid w:val="008F50FD"/>
    <w:rsid w:val="008F51C3"/>
    <w:rsid w:val="008F5494"/>
    <w:rsid w:val="008F5CA1"/>
    <w:rsid w:val="00900484"/>
    <w:rsid w:val="00905A73"/>
    <w:rsid w:val="009107AE"/>
    <w:rsid w:val="00910CED"/>
    <w:rsid w:val="00913474"/>
    <w:rsid w:val="00914E35"/>
    <w:rsid w:val="009217F8"/>
    <w:rsid w:val="00922295"/>
    <w:rsid w:val="00923428"/>
    <w:rsid w:val="00923AB1"/>
    <w:rsid w:val="00924817"/>
    <w:rsid w:val="00927E2D"/>
    <w:rsid w:val="00931B20"/>
    <w:rsid w:val="00931BB6"/>
    <w:rsid w:val="00931D56"/>
    <w:rsid w:val="009327F4"/>
    <w:rsid w:val="009337F8"/>
    <w:rsid w:val="00933800"/>
    <w:rsid w:val="009411C3"/>
    <w:rsid w:val="00941E39"/>
    <w:rsid w:val="00944EE0"/>
    <w:rsid w:val="009512BA"/>
    <w:rsid w:val="00954A47"/>
    <w:rsid w:val="0096267E"/>
    <w:rsid w:val="00962F57"/>
    <w:rsid w:val="0096326C"/>
    <w:rsid w:val="0096348E"/>
    <w:rsid w:val="00963963"/>
    <w:rsid w:val="009670E5"/>
    <w:rsid w:val="0096748D"/>
    <w:rsid w:val="00967694"/>
    <w:rsid w:val="00975BA9"/>
    <w:rsid w:val="00980696"/>
    <w:rsid w:val="00981595"/>
    <w:rsid w:val="009820A7"/>
    <w:rsid w:val="0098317E"/>
    <w:rsid w:val="00984040"/>
    <w:rsid w:val="00984AF0"/>
    <w:rsid w:val="0098585B"/>
    <w:rsid w:val="00987935"/>
    <w:rsid w:val="009A060E"/>
    <w:rsid w:val="009A06AD"/>
    <w:rsid w:val="009A34E5"/>
    <w:rsid w:val="009A38E8"/>
    <w:rsid w:val="009B3052"/>
    <w:rsid w:val="009B3B8E"/>
    <w:rsid w:val="009B3C71"/>
    <w:rsid w:val="009B551A"/>
    <w:rsid w:val="009C022B"/>
    <w:rsid w:val="009C1223"/>
    <w:rsid w:val="009C170F"/>
    <w:rsid w:val="009C5E48"/>
    <w:rsid w:val="009C6534"/>
    <w:rsid w:val="009C6A0E"/>
    <w:rsid w:val="009C6A16"/>
    <w:rsid w:val="009C7309"/>
    <w:rsid w:val="009C781D"/>
    <w:rsid w:val="009D011B"/>
    <w:rsid w:val="009D0D08"/>
    <w:rsid w:val="009D265F"/>
    <w:rsid w:val="009D443A"/>
    <w:rsid w:val="009D571C"/>
    <w:rsid w:val="009D7524"/>
    <w:rsid w:val="009D7B86"/>
    <w:rsid w:val="009E3EB4"/>
    <w:rsid w:val="009E4BFC"/>
    <w:rsid w:val="009F009C"/>
    <w:rsid w:val="009F168B"/>
    <w:rsid w:val="009F43F7"/>
    <w:rsid w:val="00A009AB"/>
    <w:rsid w:val="00A01533"/>
    <w:rsid w:val="00A0397E"/>
    <w:rsid w:val="00A0583B"/>
    <w:rsid w:val="00A064CD"/>
    <w:rsid w:val="00A07590"/>
    <w:rsid w:val="00A07E12"/>
    <w:rsid w:val="00A07F9C"/>
    <w:rsid w:val="00A1458F"/>
    <w:rsid w:val="00A20FAB"/>
    <w:rsid w:val="00A227A8"/>
    <w:rsid w:val="00A2693A"/>
    <w:rsid w:val="00A275E9"/>
    <w:rsid w:val="00A30354"/>
    <w:rsid w:val="00A31FA4"/>
    <w:rsid w:val="00A34B96"/>
    <w:rsid w:val="00A37DD3"/>
    <w:rsid w:val="00A409B1"/>
    <w:rsid w:val="00A42342"/>
    <w:rsid w:val="00A4278F"/>
    <w:rsid w:val="00A44447"/>
    <w:rsid w:val="00A52892"/>
    <w:rsid w:val="00A53025"/>
    <w:rsid w:val="00A550F7"/>
    <w:rsid w:val="00A60676"/>
    <w:rsid w:val="00A60788"/>
    <w:rsid w:val="00A6085E"/>
    <w:rsid w:val="00A6586D"/>
    <w:rsid w:val="00A6612E"/>
    <w:rsid w:val="00A6772C"/>
    <w:rsid w:val="00A709EB"/>
    <w:rsid w:val="00A7629F"/>
    <w:rsid w:val="00A7732F"/>
    <w:rsid w:val="00A77E53"/>
    <w:rsid w:val="00A80CFC"/>
    <w:rsid w:val="00A8659C"/>
    <w:rsid w:val="00A93167"/>
    <w:rsid w:val="00A9440D"/>
    <w:rsid w:val="00AA0AA1"/>
    <w:rsid w:val="00AA253B"/>
    <w:rsid w:val="00AA2FDF"/>
    <w:rsid w:val="00AA3849"/>
    <w:rsid w:val="00AA40CF"/>
    <w:rsid w:val="00AA4816"/>
    <w:rsid w:val="00AA5B76"/>
    <w:rsid w:val="00AA6C8C"/>
    <w:rsid w:val="00AA757D"/>
    <w:rsid w:val="00AA7609"/>
    <w:rsid w:val="00AB2ABD"/>
    <w:rsid w:val="00AB4C1A"/>
    <w:rsid w:val="00AB717D"/>
    <w:rsid w:val="00AB7454"/>
    <w:rsid w:val="00AC349C"/>
    <w:rsid w:val="00AD29E9"/>
    <w:rsid w:val="00AD40C8"/>
    <w:rsid w:val="00AD6B6A"/>
    <w:rsid w:val="00AD70F9"/>
    <w:rsid w:val="00AE2E13"/>
    <w:rsid w:val="00AE67D2"/>
    <w:rsid w:val="00AF48F7"/>
    <w:rsid w:val="00AF5486"/>
    <w:rsid w:val="00AF7213"/>
    <w:rsid w:val="00AF7BE5"/>
    <w:rsid w:val="00AF7E6F"/>
    <w:rsid w:val="00B00433"/>
    <w:rsid w:val="00B02F23"/>
    <w:rsid w:val="00B042AE"/>
    <w:rsid w:val="00B070A6"/>
    <w:rsid w:val="00B07161"/>
    <w:rsid w:val="00B11B3D"/>
    <w:rsid w:val="00B11DE3"/>
    <w:rsid w:val="00B17995"/>
    <w:rsid w:val="00B2298E"/>
    <w:rsid w:val="00B27DF3"/>
    <w:rsid w:val="00B32010"/>
    <w:rsid w:val="00B3635A"/>
    <w:rsid w:val="00B36809"/>
    <w:rsid w:val="00B37574"/>
    <w:rsid w:val="00B41759"/>
    <w:rsid w:val="00B41B63"/>
    <w:rsid w:val="00B42B83"/>
    <w:rsid w:val="00B442D9"/>
    <w:rsid w:val="00B445E9"/>
    <w:rsid w:val="00B50290"/>
    <w:rsid w:val="00B50459"/>
    <w:rsid w:val="00B52028"/>
    <w:rsid w:val="00B5389B"/>
    <w:rsid w:val="00B55637"/>
    <w:rsid w:val="00B57A8A"/>
    <w:rsid w:val="00B57AA3"/>
    <w:rsid w:val="00B60457"/>
    <w:rsid w:val="00B61A23"/>
    <w:rsid w:val="00B61DC0"/>
    <w:rsid w:val="00B62283"/>
    <w:rsid w:val="00B656FD"/>
    <w:rsid w:val="00B6636A"/>
    <w:rsid w:val="00B7222E"/>
    <w:rsid w:val="00B728BE"/>
    <w:rsid w:val="00B72F7F"/>
    <w:rsid w:val="00B7304C"/>
    <w:rsid w:val="00B733CA"/>
    <w:rsid w:val="00B75866"/>
    <w:rsid w:val="00B777C2"/>
    <w:rsid w:val="00B837AA"/>
    <w:rsid w:val="00B83B0F"/>
    <w:rsid w:val="00B8541B"/>
    <w:rsid w:val="00B86FD0"/>
    <w:rsid w:val="00B9022D"/>
    <w:rsid w:val="00B92F35"/>
    <w:rsid w:val="00B9527A"/>
    <w:rsid w:val="00B956EE"/>
    <w:rsid w:val="00B97287"/>
    <w:rsid w:val="00BA7D00"/>
    <w:rsid w:val="00BB1682"/>
    <w:rsid w:val="00BB4372"/>
    <w:rsid w:val="00BB5608"/>
    <w:rsid w:val="00BB6946"/>
    <w:rsid w:val="00BB6D3B"/>
    <w:rsid w:val="00BB7813"/>
    <w:rsid w:val="00BC6B26"/>
    <w:rsid w:val="00BC6DCC"/>
    <w:rsid w:val="00BD5E93"/>
    <w:rsid w:val="00BD6E76"/>
    <w:rsid w:val="00BE08A8"/>
    <w:rsid w:val="00BE1FED"/>
    <w:rsid w:val="00BE2F4D"/>
    <w:rsid w:val="00BE3950"/>
    <w:rsid w:val="00BE3BDD"/>
    <w:rsid w:val="00BE63B9"/>
    <w:rsid w:val="00BE65E8"/>
    <w:rsid w:val="00BE695B"/>
    <w:rsid w:val="00BE7B09"/>
    <w:rsid w:val="00BF0834"/>
    <w:rsid w:val="00BF4314"/>
    <w:rsid w:val="00BF7702"/>
    <w:rsid w:val="00C01EF8"/>
    <w:rsid w:val="00C024CC"/>
    <w:rsid w:val="00C039DC"/>
    <w:rsid w:val="00C05345"/>
    <w:rsid w:val="00C111B2"/>
    <w:rsid w:val="00C134B7"/>
    <w:rsid w:val="00C141BD"/>
    <w:rsid w:val="00C149D3"/>
    <w:rsid w:val="00C2164C"/>
    <w:rsid w:val="00C242A2"/>
    <w:rsid w:val="00C252AC"/>
    <w:rsid w:val="00C304AC"/>
    <w:rsid w:val="00C34578"/>
    <w:rsid w:val="00C371B5"/>
    <w:rsid w:val="00C42571"/>
    <w:rsid w:val="00C5008E"/>
    <w:rsid w:val="00C50F60"/>
    <w:rsid w:val="00C5101B"/>
    <w:rsid w:val="00C5163B"/>
    <w:rsid w:val="00C5492F"/>
    <w:rsid w:val="00C54C2D"/>
    <w:rsid w:val="00C5531A"/>
    <w:rsid w:val="00C55F8D"/>
    <w:rsid w:val="00C57827"/>
    <w:rsid w:val="00C5798B"/>
    <w:rsid w:val="00C60E0E"/>
    <w:rsid w:val="00C61735"/>
    <w:rsid w:val="00C6452F"/>
    <w:rsid w:val="00C66CB2"/>
    <w:rsid w:val="00C66FDB"/>
    <w:rsid w:val="00C67A65"/>
    <w:rsid w:val="00C73963"/>
    <w:rsid w:val="00C76383"/>
    <w:rsid w:val="00C81DEE"/>
    <w:rsid w:val="00C83092"/>
    <w:rsid w:val="00C85E35"/>
    <w:rsid w:val="00C873CE"/>
    <w:rsid w:val="00C87474"/>
    <w:rsid w:val="00C90369"/>
    <w:rsid w:val="00C912AB"/>
    <w:rsid w:val="00C93262"/>
    <w:rsid w:val="00C94150"/>
    <w:rsid w:val="00C94DE0"/>
    <w:rsid w:val="00C96A53"/>
    <w:rsid w:val="00C96D9A"/>
    <w:rsid w:val="00CA1693"/>
    <w:rsid w:val="00CA441D"/>
    <w:rsid w:val="00CA7201"/>
    <w:rsid w:val="00CB07C6"/>
    <w:rsid w:val="00CB0FC3"/>
    <w:rsid w:val="00CB314D"/>
    <w:rsid w:val="00CB49D1"/>
    <w:rsid w:val="00CB5B9E"/>
    <w:rsid w:val="00CB646E"/>
    <w:rsid w:val="00CB6493"/>
    <w:rsid w:val="00CC4688"/>
    <w:rsid w:val="00CC626C"/>
    <w:rsid w:val="00CD1B33"/>
    <w:rsid w:val="00CD22D1"/>
    <w:rsid w:val="00CD28A6"/>
    <w:rsid w:val="00CD4CCB"/>
    <w:rsid w:val="00CD6188"/>
    <w:rsid w:val="00CD633B"/>
    <w:rsid w:val="00CD746E"/>
    <w:rsid w:val="00CE0E63"/>
    <w:rsid w:val="00CE1394"/>
    <w:rsid w:val="00CE20A5"/>
    <w:rsid w:val="00CE4DB4"/>
    <w:rsid w:val="00CE5F11"/>
    <w:rsid w:val="00CE69FC"/>
    <w:rsid w:val="00CE7639"/>
    <w:rsid w:val="00CF1FA7"/>
    <w:rsid w:val="00CF5351"/>
    <w:rsid w:val="00D00941"/>
    <w:rsid w:val="00D064B3"/>
    <w:rsid w:val="00D13475"/>
    <w:rsid w:val="00D134FE"/>
    <w:rsid w:val="00D13AC9"/>
    <w:rsid w:val="00D16A39"/>
    <w:rsid w:val="00D17513"/>
    <w:rsid w:val="00D22238"/>
    <w:rsid w:val="00D23CE0"/>
    <w:rsid w:val="00D24619"/>
    <w:rsid w:val="00D24A06"/>
    <w:rsid w:val="00D24A4C"/>
    <w:rsid w:val="00D30714"/>
    <w:rsid w:val="00D34DD6"/>
    <w:rsid w:val="00D35C02"/>
    <w:rsid w:val="00D362CB"/>
    <w:rsid w:val="00D45146"/>
    <w:rsid w:val="00D453F5"/>
    <w:rsid w:val="00D455CB"/>
    <w:rsid w:val="00D50AD2"/>
    <w:rsid w:val="00D51741"/>
    <w:rsid w:val="00D524D6"/>
    <w:rsid w:val="00D55878"/>
    <w:rsid w:val="00D55A2C"/>
    <w:rsid w:val="00D563E7"/>
    <w:rsid w:val="00D56B9D"/>
    <w:rsid w:val="00D57192"/>
    <w:rsid w:val="00D616DF"/>
    <w:rsid w:val="00D64D70"/>
    <w:rsid w:val="00D666CD"/>
    <w:rsid w:val="00D7156A"/>
    <w:rsid w:val="00D721E7"/>
    <w:rsid w:val="00D72D61"/>
    <w:rsid w:val="00D739D5"/>
    <w:rsid w:val="00D7510A"/>
    <w:rsid w:val="00D76632"/>
    <w:rsid w:val="00D778CF"/>
    <w:rsid w:val="00D8026F"/>
    <w:rsid w:val="00D80D97"/>
    <w:rsid w:val="00D920E0"/>
    <w:rsid w:val="00D92F96"/>
    <w:rsid w:val="00D9749E"/>
    <w:rsid w:val="00DB6871"/>
    <w:rsid w:val="00DC0B1D"/>
    <w:rsid w:val="00DC4381"/>
    <w:rsid w:val="00DC43D5"/>
    <w:rsid w:val="00DC5C7A"/>
    <w:rsid w:val="00DD3114"/>
    <w:rsid w:val="00DE35DA"/>
    <w:rsid w:val="00DE3E24"/>
    <w:rsid w:val="00DE5CB4"/>
    <w:rsid w:val="00DF279E"/>
    <w:rsid w:val="00DF2820"/>
    <w:rsid w:val="00E01BD4"/>
    <w:rsid w:val="00E07525"/>
    <w:rsid w:val="00E11C5A"/>
    <w:rsid w:val="00E12A03"/>
    <w:rsid w:val="00E12C38"/>
    <w:rsid w:val="00E139A4"/>
    <w:rsid w:val="00E14457"/>
    <w:rsid w:val="00E1467F"/>
    <w:rsid w:val="00E167D6"/>
    <w:rsid w:val="00E26908"/>
    <w:rsid w:val="00E3187D"/>
    <w:rsid w:val="00E31E42"/>
    <w:rsid w:val="00E34035"/>
    <w:rsid w:val="00E35230"/>
    <w:rsid w:val="00E36521"/>
    <w:rsid w:val="00E431FB"/>
    <w:rsid w:val="00E4569F"/>
    <w:rsid w:val="00E470BE"/>
    <w:rsid w:val="00E53AC1"/>
    <w:rsid w:val="00E5515F"/>
    <w:rsid w:val="00E55634"/>
    <w:rsid w:val="00E55BF8"/>
    <w:rsid w:val="00E6044E"/>
    <w:rsid w:val="00E607E8"/>
    <w:rsid w:val="00E62021"/>
    <w:rsid w:val="00E63B27"/>
    <w:rsid w:val="00E64741"/>
    <w:rsid w:val="00E67B37"/>
    <w:rsid w:val="00E731B3"/>
    <w:rsid w:val="00E7342F"/>
    <w:rsid w:val="00E73669"/>
    <w:rsid w:val="00E75240"/>
    <w:rsid w:val="00E777DA"/>
    <w:rsid w:val="00E82217"/>
    <w:rsid w:val="00E83D9F"/>
    <w:rsid w:val="00E8407B"/>
    <w:rsid w:val="00E8455B"/>
    <w:rsid w:val="00E85945"/>
    <w:rsid w:val="00E85DC8"/>
    <w:rsid w:val="00E86D36"/>
    <w:rsid w:val="00E900A0"/>
    <w:rsid w:val="00E904A5"/>
    <w:rsid w:val="00E924A9"/>
    <w:rsid w:val="00E9575D"/>
    <w:rsid w:val="00EA0368"/>
    <w:rsid w:val="00EA2743"/>
    <w:rsid w:val="00EA68B0"/>
    <w:rsid w:val="00EB0369"/>
    <w:rsid w:val="00EB0741"/>
    <w:rsid w:val="00EB1DD3"/>
    <w:rsid w:val="00EC10D6"/>
    <w:rsid w:val="00EC1AFA"/>
    <w:rsid w:val="00ED022D"/>
    <w:rsid w:val="00ED0C32"/>
    <w:rsid w:val="00ED3FBE"/>
    <w:rsid w:val="00EE479C"/>
    <w:rsid w:val="00EE6CCF"/>
    <w:rsid w:val="00EF156A"/>
    <w:rsid w:val="00EF1C82"/>
    <w:rsid w:val="00EF282B"/>
    <w:rsid w:val="00EF2AC7"/>
    <w:rsid w:val="00EF3EEE"/>
    <w:rsid w:val="00EF3FEB"/>
    <w:rsid w:val="00EF6DF5"/>
    <w:rsid w:val="00F034A5"/>
    <w:rsid w:val="00F112CD"/>
    <w:rsid w:val="00F11FA5"/>
    <w:rsid w:val="00F12759"/>
    <w:rsid w:val="00F12797"/>
    <w:rsid w:val="00F14987"/>
    <w:rsid w:val="00F17BEE"/>
    <w:rsid w:val="00F2691D"/>
    <w:rsid w:val="00F270DE"/>
    <w:rsid w:val="00F30C2E"/>
    <w:rsid w:val="00F347AF"/>
    <w:rsid w:val="00F3660F"/>
    <w:rsid w:val="00F36BD0"/>
    <w:rsid w:val="00F4518E"/>
    <w:rsid w:val="00F45D61"/>
    <w:rsid w:val="00F46793"/>
    <w:rsid w:val="00F47D59"/>
    <w:rsid w:val="00F50760"/>
    <w:rsid w:val="00F51306"/>
    <w:rsid w:val="00F52885"/>
    <w:rsid w:val="00F52F60"/>
    <w:rsid w:val="00F54E83"/>
    <w:rsid w:val="00F558AB"/>
    <w:rsid w:val="00F57146"/>
    <w:rsid w:val="00F615DF"/>
    <w:rsid w:val="00F61B28"/>
    <w:rsid w:val="00F6291B"/>
    <w:rsid w:val="00F63670"/>
    <w:rsid w:val="00F67A04"/>
    <w:rsid w:val="00F74588"/>
    <w:rsid w:val="00F80F27"/>
    <w:rsid w:val="00F81602"/>
    <w:rsid w:val="00F82350"/>
    <w:rsid w:val="00F8405C"/>
    <w:rsid w:val="00F85C79"/>
    <w:rsid w:val="00F950EE"/>
    <w:rsid w:val="00F9512F"/>
    <w:rsid w:val="00F97E27"/>
    <w:rsid w:val="00FA1002"/>
    <w:rsid w:val="00FA18ED"/>
    <w:rsid w:val="00FA256D"/>
    <w:rsid w:val="00FA50F5"/>
    <w:rsid w:val="00FA76E2"/>
    <w:rsid w:val="00FA7DA3"/>
    <w:rsid w:val="00FB136A"/>
    <w:rsid w:val="00FB2A3A"/>
    <w:rsid w:val="00FB49CB"/>
    <w:rsid w:val="00FB55CB"/>
    <w:rsid w:val="00FB5E86"/>
    <w:rsid w:val="00FB7B17"/>
    <w:rsid w:val="00FC023F"/>
    <w:rsid w:val="00FC0663"/>
    <w:rsid w:val="00FC067C"/>
    <w:rsid w:val="00FC514B"/>
    <w:rsid w:val="00FC687F"/>
    <w:rsid w:val="00FD24A0"/>
    <w:rsid w:val="00FD3754"/>
    <w:rsid w:val="00FD3BA9"/>
    <w:rsid w:val="00FD4B68"/>
    <w:rsid w:val="00FD6B3D"/>
    <w:rsid w:val="00FE0869"/>
    <w:rsid w:val="00FE0FE8"/>
    <w:rsid w:val="00FE4EF5"/>
    <w:rsid w:val="00FE7F4F"/>
    <w:rsid w:val="00FF00E3"/>
    <w:rsid w:val="00FF20AA"/>
    <w:rsid w:val="00FF5D23"/>
    <w:rsid w:val="00FF73D9"/>
    <w:rsid w:val="00FF7A4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0F2EE0F-9C15-46F9-8D61-0976CE4D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34A5"/>
    <w:rPr>
      <w:noProof/>
      <w:sz w:val="24"/>
      <w:szCs w:val="24"/>
      <w:lang w:val="gl-ES"/>
    </w:rPr>
  </w:style>
  <w:style w:type="paragraph" w:styleId="Ttulo1">
    <w:name w:val="heading 1"/>
    <w:basedOn w:val="Normal"/>
    <w:next w:val="Normal"/>
    <w:link w:val="Ttulo1Car"/>
    <w:qFormat/>
    <w:rsid w:val="009831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sutil2">
    <w:name w:val="Table Subtle 2"/>
    <w:basedOn w:val="Tablanormal"/>
    <w:rsid w:val="00BF7702"/>
    <w:rPr>
      <w:rFonts w:ascii="Arial" w:hAnsi="Arial"/>
      <w:b/>
      <w:i/>
    </w:rPr>
    <w:tblPr>
      <w:tblBorders>
        <w:left w:val="single" w:sz="6" w:space="0" w:color="000000"/>
        <w:right w:val="single" w:sz="6" w:space="0" w:color="000000"/>
      </w:tblBorders>
    </w:tblPr>
    <w:tcPr>
      <w:shd w:val="pct50" w:color="CCCCFF" w:fill="auto"/>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cBorders>
        <w:shd w:val="pct60" w:color="CCFFCC" w:fill="33CCCC"/>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cabezado">
    <w:name w:val="header"/>
    <w:basedOn w:val="Normal"/>
    <w:link w:val="EncabezadoCar"/>
    <w:uiPriority w:val="99"/>
    <w:rsid w:val="00635DFF"/>
    <w:pPr>
      <w:tabs>
        <w:tab w:val="center" w:pos="4252"/>
        <w:tab w:val="right" w:pos="8504"/>
      </w:tabs>
    </w:pPr>
  </w:style>
  <w:style w:type="paragraph" w:styleId="Piedepgina">
    <w:name w:val="footer"/>
    <w:basedOn w:val="Normal"/>
    <w:link w:val="PiedepginaCar"/>
    <w:uiPriority w:val="99"/>
    <w:rsid w:val="00635DFF"/>
    <w:pPr>
      <w:tabs>
        <w:tab w:val="center" w:pos="4252"/>
        <w:tab w:val="right" w:pos="8504"/>
      </w:tabs>
    </w:pPr>
  </w:style>
  <w:style w:type="table" w:styleId="Tablaconcuadrcula">
    <w:name w:val="Table Grid"/>
    <w:basedOn w:val="Tablanormal"/>
    <w:uiPriority w:val="39"/>
    <w:rsid w:val="0063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5AF3"/>
    <w:pPr>
      <w:spacing w:before="100" w:beforeAutospacing="1" w:after="100" w:afterAutospacing="1"/>
    </w:pPr>
    <w:rPr>
      <w:lang w:eastAsia="gl-ES"/>
    </w:rPr>
  </w:style>
  <w:style w:type="character" w:customStyle="1" w:styleId="apple-converted-space">
    <w:name w:val="apple-converted-space"/>
    <w:rsid w:val="00715AF3"/>
  </w:style>
  <w:style w:type="character" w:styleId="Textoennegrita">
    <w:name w:val="Strong"/>
    <w:uiPriority w:val="22"/>
    <w:qFormat/>
    <w:rsid w:val="00715AF3"/>
    <w:rPr>
      <w:b/>
      <w:bCs/>
    </w:rPr>
  </w:style>
  <w:style w:type="character" w:customStyle="1" w:styleId="PiedepginaCar">
    <w:name w:val="Pie de página Car"/>
    <w:link w:val="Piedepgina"/>
    <w:uiPriority w:val="99"/>
    <w:rsid w:val="00A709EB"/>
    <w:rPr>
      <w:sz w:val="24"/>
      <w:szCs w:val="24"/>
      <w:lang w:eastAsia="es-ES"/>
    </w:rPr>
  </w:style>
  <w:style w:type="character" w:styleId="Hipervnculo">
    <w:name w:val="Hyperlink"/>
    <w:uiPriority w:val="99"/>
    <w:rsid w:val="00FE0869"/>
    <w:rPr>
      <w:color w:val="0563C1"/>
      <w:u w:val="single"/>
    </w:rPr>
  </w:style>
  <w:style w:type="character" w:styleId="nfasis">
    <w:name w:val="Emphasis"/>
    <w:uiPriority w:val="20"/>
    <w:qFormat/>
    <w:rsid w:val="009C781D"/>
    <w:rPr>
      <w:i/>
      <w:iCs/>
    </w:rPr>
  </w:style>
  <w:style w:type="character" w:styleId="Refdecomentario">
    <w:name w:val="annotation reference"/>
    <w:rsid w:val="00A7629F"/>
    <w:rPr>
      <w:sz w:val="16"/>
      <w:szCs w:val="16"/>
    </w:rPr>
  </w:style>
  <w:style w:type="paragraph" w:styleId="Textocomentario">
    <w:name w:val="annotation text"/>
    <w:basedOn w:val="Normal"/>
    <w:link w:val="TextocomentarioCar"/>
    <w:rsid w:val="00A7629F"/>
    <w:rPr>
      <w:sz w:val="20"/>
      <w:szCs w:val="20"/>
    </w:rPr>
  </w:style>
  <w:style w:type="character" w:customStyle="1" w:styleId="TextocomentarioCar">
    <w:name w:val="Texto comentario Car"/>
    <w:link w:val="Textocomentario"/>
    <w:rsid w:val="00A7629F"/>
    <w:rPr>
      <w:lang w:eastAsia="es-ES"/>
    </w:rPr>
  </w:style>
  <w:style w:type="paragraph" w:styleId="Asuntodelcomentario">
    <w:name w:val="annotation subject"/>
    <w:basedOn w:val="Textocomentario"/>
    <w:next w:val="Textocomentario"/>
    <w:link w:val="AsuntodelcomentarioCar"/>
    <w:rsid w:val="00A7629F"/>
    <w:rPr>
      <w:b/>
      <w:bCs/>
    </w:rPr>
  </w:style>
  <w:style w:type="character" w:customStyle="1" w:styleId="AsuntodelcomentarioCar">
    <w:name w:val="Asunto del comentario Car"/>
    <w:link w:val="Asuntodelcomentario"/>
    <w:rsid w:val="00A7629F"/>
    <w:rPr>
      <w:b/>
      <w:bCs/>
      <w:lang w:eastAsia="es-ES"/>
    </w:rPr>
  </w:style>
  <w:style w:type="paragraph" w:styleId="Textodeglobo">
    <w:name w:val="Balloon Text"/>
    <w:basedOn w:val="Normal"/>
    <w:link w:val="TextodegloboCar"/>
    <w:rsid w:val="00A7629F"/>
    <w:rPr>
      <w:rFonts w:ascii="Segoe UI" w:hAnsi="Segoe UI" w:cs="Segoe UI"/>
      <w:sz w:val="18"/>
      <w:szCs w:val="18"/>
    </w:rPr>
  </w:style>
  <w:style w:type="character" w:customStyle="1" w:styleId="TextodegloboCar">
    <w:name w:val="Texto de globo Car"/>
    <w:link w:val="Textodeglobo"/>
    <w:rsid w:val="00A7629F"/>
    <w:rPr>
      <w:rFonts w:ascii="Segoe UI" w:hAnsi="Segoe UI" w:cs="Segoe UI"/>
      <w:sz w:val="18"/>
      <w:szCs w:val="18"/>
      <w:lang w:eastAsia="es-ES"/>
    </w:rPr>
  </w:style>
  <w:style w:type="paragraph" w:styleId="Prrafodelista">
    <w:name w:val="List Paragraph"/>
    <w:basedOn w:val="Normal"/>
    <w:uiPriority w:val="34"/>
    <w:qFormat/>
    <w:rsid w:val="005F688E"/>
    <w:pPr>
      <w:spacing w:after="160" w:line="259" w:lineRule="auto"/>
      <w:ind w:left="720"/>
      <w:contextualSpacing/>
    </w:pPr>
    <w:rPr>
      <w:rFonts w:asciiTheme="minorHAnsi" w:eastAsiaTheme="minorHAnsi" w:hAnsiTheme="minorHAnsi" w:cstheme="minorBidi"/>
      <w:sz w:val="22"/>
      <w:szCs w:val="22"/>
      <w:lang w:eastAsia="en-US"/>
    </w:rPr>
  </w:style>
  <w:style w:type="character" w:styleId="Nmerodepgina">
    <w:name w:val="page number"/>
    <w:basedOn w:val="Fuentedeprrafopredeter"/>
    <w:uiPriority w:val="99"/>
    <w:rsid w:val="000E2432"/>
  </w:style>
  <w:style w:type="paragraph" w:customStyle="1" w:styleId="Estilopredeterminado">
    <w:name w:val="Estilo predeterminado"/>
    <w:rsid w:val="000E2432"/>
    <w:pPr>
      <w:suppressAutoHyphens/>
      <w:spacing w:line="100" w:lineRule="atLeast"/>
    </w:pPr>
    <w:rPr>
      <w:color w:val="00000A"/>
      <w:sz w:val="24"/>
      <w:szCs w:val="24"/>
      <w:lang w:val="gl-ES"/>
    </w:rPr>
  </w:style>
  <w:style w:type="paragraph" w:customStyle="1" w:styleId="Standard">
    <w:name w:val="Standard"/>
    <w:rsid w:val="00D57192"/>
    <w:pPr>
      <w:suppressAutoHyphens/>
      <w:autoSpaceDN w:val="0"/>
    </w:pPr>
    <w:rPr>
      <w:rFonts w:ascii="Liberation Serif" w:eastAsia="SimSun" w:hAnsi="Liberation Serif" w:cs="Mangal"/>
      <w:kern w:val="3"/>
      <w:sz w:val="24"/>
      <w:szCs w:val="24"/>
      <w:lang w:eastAsia="zh-CN" w:bidi="hi-IN"/>
    </w:rPr>
  </w:style>
  <w:style w:type="paragraph" w:customStyle="1" w:styleId="Textbody">
    <w:name w:val="Text body"/>
    <w:basedOn w:val="Standard"/>
    <w:rsid w:val="00051161"/>
    <w:pPr>
      <w:spacing w:after="120"/>
    </w:pPr>
    <w:rPr>
      <w:rFonts w:ascii="Times New Roman" w:hAnsi="Times New Roman" w:cs="Arial"/>
      <w:lang w:val="gl-ES"/>
    </w:rPr>
  </w:style>
  <w:style w:type="character" w:customStyle="1" w:styleId="EncabezadoCar">
    <w:name w:val="Encabezado Car"/>
    <w:basedOn w:val="Fuentedeprrafopredeter"/>
    <w:link w:val="Encabezado"/>
    <w:uiPriority w:val="99"/>
    <w:rsid w:val="003B33DE"/>
    <w:rPr>
      <w:noProof/>
      <w:sz w:val="24"/>
      <w:szCs w:val="24"/>
      <w:lang w:val="gl-ES"/>
    </w:rPr>
  </w:style>
  <w:style w:type="character" w:customStyle="1" w:styleId="Ttulo1Car">
    <w:name w:val="Título 1 Car"/>
    <w:basedOn w:val="Fuentedeprrafopredeter"/>
    <w:link w:val="Ttulo1"/>
    <w:rsid w:val="0098317E"/>
    <w:rPr>
      <w:rFonts w:asciiTheme="majorHAnsi" w:eastAsiaTheme="majorEastAsia" w:hAnsiTheme="majorHAnsi" w:cstheme="majorBidi"/>
      <w:noProof/>
      <w:color w:val="365F91" w:themeColor="accent1" w:themeShade="BF"/>
      <w:sz w:val="32"/>
      <w:szCs w:val="32"/>
      <w:lang w:val="gl-ES"/>
    </w:rPr>
  </w:style>
  <w:style w:type="paragraph" w:styleId="Sinespaciado">
    <w:name w:val="No Spacing"/>
    <w:uiPriority w:val="1"/>
    <w:qFormat/>
    <w:rsid w:val="0098317E"/>
    <w:rPr>
      <w:noProof/>
      <w:sz w:val="24"/>
      <w:szCs w:val="24"/>
      <w:lang w:val="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5391">
      <w:bodyDiv w:val="1"/>
      <w:marLeft w:val="0"/>
      <w:marRight w:val="0"/>
      <w:marTop w:val="0"/>
      <w:marBottom w:val="0"/>
      <w:divBdr>
        <w:top w:val="none" w:sz="0" w:space="0" w:color="auto"/>
        <w:left w:val="none" w:sz="0" w:space="0" w:color="auto"/>
        <w:bottom w:val="none" w:sz="0" w:space="0" w:color="auto"/>
        <w:right w:val="none" w:sz="0" w:space="0" w:color="auto"/>
      </w:divBdr>
    </w:div>
    <w:div w:id="322856829">
      <w:bodyDiv w:val="1"/>
      <w:marLeft w:val="0"/>
      <w:marRight w:val="0"/>
      <w:marTop w:val="0"/>
      <w:marBottom w:val="0"/>
      <w:divBdr>
        <w:top w:val="none" w:sz="0" w:space="0" w:color="auto"/>
        <w:left w:val="none" w:sz="0" w:space="0" w:color="auto"/>
        <w:bottom w:val="none" w:sz="0" w:space="0" w:color="auto"/>
        <w:right w:val="none" w:sz="0" w:space="0" w:color="auto"/>
      </w:divBdr>
    </w:div>
    <w:div w:id="355808858">
      <w:bodyDiv w:val="1"/>
      <w:marLeft w:val="0"/>
      <w:marRight w:val="0"/>
      <w:marTop w:val="0"/>
      <w:marBottom w:val="0"/>
      <w:divBdr>
        <w:top w:val="none" w:sz="0" w:space="0" w:color="auto"/>
        <w:left w:val="none" w:sz="0" w:space="0" w:color="auto"/>
        <w:bottom w:val="none" w:sz="0" w:space="0" w:color="auto"/>
        <w:right w:val="none" w:sz="0" w:space="0" w:color="auto"/>
      </w:divBdr>
    </w:div>
    <w:div w:id="437454631">
      <w:bodyDiv w:val="1"/>
      <w:marLeft w:val="0"/>
      <w:marRight w:val="0"/>
      <w:marTop w:val="0"/>
      <w:marBottom w:val="0"/>
      <w:divBdr>
        <w:top w:val="none" w:sz="0" w:space="0" w:color="auto"/>
        <w:left w:val="none" w:sz="0" w:space="0" w:color="auto"/>
        <w:bottom w:val="none" w:sz="0" w:space="0" w:color="auto"/>
        <w:right w:val="none" w:sz="0" w:space="0" w:color="auto"/>
      </w:divBdr>
    </w:div>
    <w:div w:id="466245865">
      <w:bodyDiv w:val="1"/>
      <w:marLeft w:val="0"/>
      <w:marRight w:val="0"/>
      <w:marTop w:val="0"/>
      <w:marBottom w:val="0"/>
      <w:divBdr>
        <w:top w:val="none" w:sz="0" w:space="0" w:color="auto"/>
        <w:left w:val="none" w:sz="0" w:space="0" w:color="auto"/>
        <w:bottom w:val="none" w:sz="0" w:space="0" w:color="auto"/>
        <w:right w:val="none" w:sz="0" w:space="0" w:color="auto"/>
      </w:divBdr>
    </w:div>
    <w:div w:id="697392779">
      <w:bodyDiv w:val="1"/>
      <w:marLeft w:val="0"/>
      <w:marRight w:val="0"/>
      <w:marTop w:val="0"/>
      <w:marBottom w:val="0"/>
      <w:divBdr>
        <w:top w:val="none" w:sz="0" w:space="0" w:color="auto"/>
        <w:left w:val="none" w:sz="0" w:space="0" w:color="auto"/>
        <w:bottom w:val="none" w:sz="0" w:space="0" w:color="auto"/>
        <w:right w:val="none" w:sz="0" w:space="0" w:color="auto"/>
      </w:divBdr>
    </w:div>
    <w:div w:id="750472011">
      <w:bodyDiv w:val="1"/>
      <w:marLeft w:val="0"/>
      <w:marRight w:val="0"/>
      <w:marTop w:val="0"/>
      <w:marBottom w:val="0"/>
      <w:divBdr>
        <w:top w:val="none" w:sz="0" w:space="0" w:color="auto"/>
        <w:left w:val="none" w:sz="0" w:space="0" w:color="auto"/>
        <w:bottom w:val="none" w:sz="0" w:space="0" w:color="auto"/>
        <w:right w:val="none" w:sz="0" w:space="0" w:color="auto"/>
      </w:divBdr>
    </w:div>
    <w:div w:id="760956502">
      <w:bodyDiv w:val="1"/>
      <w:marLeft w:val="0"/>
      <w:marRight w:val="0"/>
      <w:marTop w:val="0"/>
      <w:marBottom w:val="0"/>
      <w:divBdr>
        <w:top w:val="none" w:sz="0" w:space="0" w:color="auto"/>
        <w:left w:val="none" w:sz="0" w:space="0" w:color="auto"/>
        <w:bottom w:val="none" w:sz="0" w:space="0" w:color="auto"/>
        <w:right w:val="none" w:sz="0" w:space="0" w:color="auto"/>
      </w:divBdr>
    </w:div>
    <w:div w:id="780219902">
      <w:bodyDiv w:val="1"/>
      <w:marLeft w:val="0"/>
      <w:marRight w:val="0"/>
      <w:marTop w:val="0"/>
      <w:marBottom w:val="0"/>
      <w:divBdr>
        <w:top w:val="none" w:sz="0" w:space="0" w:color="auto"/>
        <w:left w:val="none" w:sz="0" w:space="0" w:color="auto"/>
        <w:bottom w:val="none" w:sz="0" w:space="0" w:color="auto"/>
        <w:right w:val="none" w:sz="0" w:space="0" w:color="auto"/>
      </w:divBdr>
    </w:div>
    <w:div w:id="843396308">
      <w:bodyDiv w:val="1"/>
      <w:marLeft w:val="0"/>
      <w:marRight w:val="0"/>
      <w:marTop w:val="0"/>
      <w:marBottom w:val="0"/>
      <w:divBdr>
        <w:top w:val="none" w:sz="0" w:space="0" w:color="auto"/>
        <w:left w:val="none" w:sz="0" w:space="0" w:color="auto"/>
        <w:bottom w:val="none" w:sz="0" w:space="0" w:color="auto"/>
        <w:right w:val="none" w:sz="0" w:space="0" w:color="auto"/>
      </w:divBdr>
    </w:div>
    <w:div w:id="934485013">
      <w:bodyDiv w:val="1"/>
      <w:marLeft w:val="0"/>
      <w:marRight w:val="0"/>
      <w:marTop w:val="0"/>
      <w:marBottom w:val="0"/>
      <w:divBdr>
        <w:top w:val="none" w:sz="0" w:space="0" w:color="auto"/>
        <w:left w:val="none" w:sz="0" w:space="0" w:color="auto"/>
        <w:bottom w:val="none" w:sz="0" w:space="0" w:color="auto"/>
        <w:right w:val="none" w:sz="0" w:space="0" w:color="auto"/>
      </w:divBdr>
    </w:div>
    <w:div w:id="1072846815">
      <w:bodyDiv w:val="1"/>
      <w:marLeft w:val="0"/>
      <w:marRight w:val="0"/>
      <w:marTop w:val="0"/>
      <w:marBottom w:val="0"/>
      <w:divBdr>
        <w:top w:val="none" w:sz="0" w:space="0" w:color="auto"/>
        <w:left w:val="none" w:sz="0" w:space="0" w:color="auto"/>
        <w:bottom w:val="none" w:sz="0" w:space="0" w:color="auto"/>
        <w:right w:val="none" w:sz="0" w:space="0" w:color="auto"/>
      </w:divBdr>
    </w:div>
    <w:div w:id="1115245878">
      <w:bodyDiv w:val="1"/>
      <w:marLeft w:val="0"/>
      <w:marRight w:val="0"/>
      <w:marTop w:val="0"/>
      <w:marBottom w:val="0"/>
      <w:divBdr>
        <w:top w:val="none" w:sz="0" w:space="0" w:color="auto"/>
        <w:left w:val="none" w:sz="0" w:space="0" w:color="auto"/>
        <w:bottom w:val="none" w:sz="0" w:space="0" w:color="auto"/>
        <w:right w:val="none" w:sz="0" w:space="0" w:color="auto"/>
      </w:divBdr>
    </w:div>
    <w:div w:id="1119639151">
      <w:bodyDiv w:val="1"/>
      <w:marLeft w:val="0"/>
      <w:marRight w:val="0"/>
      <w:marTop w:val="0"/>
      <w:marBottom w:val="0"/>
      <w:divBdr>
        <w:top w:val="none" w:sz="0" w:space="0" w:color="auto"/>
        <w:left w:val="none" w:sz="0" w:space="0" w:color="auto"/>
        <w:bottom w:val="none" w:sz="0" w:space="0" w:color="auto"/>
        <w:right w:val="none" w:sz="0" w:space="0" w:color="auto"/>
      </w:divBdr>
    </w:div>
    <w:div w:id="1184904934">
      <w:bodyDiv w:val="1"/>
      <w:marLeft w:val="0"/>
      <w:marRight w:val="0"/>
      <w:marTop w:val="0"/>
      <w:marBottom w:val="0"/>
      <w:divBdr>
        <w:top w:val="none" w:sz="0" w:space="0" w:color="auto"/>
        <w:left w:val="none" w:sz="0" w:space="0" w:color="auto"/>
        <w:bottom w:val="none" w:sz="0" w:space="0" w:color="auto"/>
        <w:right w:val="none" w:sz="0" w:space="0" w:color="auto"/>
      </w:divBdr>
    </w:div>
    <w:div w:id="1617056080">
      <w:bodyDiv w:val="1"/>
      <w:marLeft w:val="0"/>
      <w:marRight w:val="0"/>
      <w:marTop w:val="0"/>
      <w:marBottom w:val="0"/>
      <w:divBdr>
        <w:top w:val="none" w:sz="0" w:space="0" w:color="auto"/>
        <w:left w:val="none" w:sz="0" w:space="0" w:color="auto"/>
        <w:bottom w:val="none" w:sz="0" w:space="0" w:color="auto"/>
        <w:right w:val="none" w:sz="0" w:space="0" w:color="auto"/>
      </w:divBdr>
    </w:div>
    <w:div w:id="1659334836">
      <w:bodyDiv w:val="1"/>
      <w:marLeft w:val="0"/>
      <w:marRight w:val="0"/>
      <w:marTop w:val="0"/>
      <w:marBottom w:val="0"/>
      <w:divBdr>
        <w:top w:val="none" w:sz="0" w:space="0" w:color="auto"/>
        <w:left w:val="none" w:sz="0" w:space="0" w:color="auto"/>
        <w:bottom w:val="none" w:sz="0" w:space="0" w:color="auto"/>
        <w:right w:val="none" w:sz="0" w:space="0" w:color="auto"/>
      </w:divBdr>
    </w:div>
    <w:div w:id="1904872254">
      <w:bodyDiv w:val="1"/>
      <w:marLeft w:val="0"/>
      <w:marRight w:val="0"/>
      <w:marTop w:val="0"/>
      <w:marBottom w:val="0"/>
      <w:divBdr>
        <w:top w:val="none" w:sz="0" w:space="0" w:color="auto"/>
        <w:left w:val="none" w:sz="0" w:space="0" w:color="auto"/>
        <w:bottom w:val="none" w:sz="0" w:space="0" w:color="auto"/>
        <w:right w:val="none" w:sz="0" w:space="0" w:color="auto"/>
      </w:divBdr>
    </w:div>
    <w:div w:id="19605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csi-f.es/ambito/galicia" TargetMode="External"/><Relationship Id="rId2" Type="http://schemas.openxmlformats.org/officeDocument/2006/relationships/hyperlink" Target="mailto:galicia@csi-f.es"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C2D9B-5F02-0147-B11B-2D3665B4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2947</Words>
  <Characters>16209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chencho</dc:creator>
  <cp:lastModifiedBy>Microsoft Office User</cp:lastModifiedBy>
  <cp:revision>2</cp:revision>
  <cp:lastPrinted>2018-11-30T08:34:00Z</cp:lastPrinted>
  <dcterms:created xsi:type="dcterms:W3CDTF">2018-11-30T09:06:00Z</dcterms:created>
  <dcterms:modified xsi:type="dcterms:W3CDTF">2018-11-30T09:06:00Z</dcterms:modified>
</cp:coreProperties>
</file>